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360" w:lineRule="auto"/>
        <w:jc w:val="center"/>
        <w:rPr>
          <w:rFonts w:hint="eastAsia" w:asciiTheme="majorEastAsia" w:hAnsiTheme="majorEastAsia" w:eastAsiaTheme="majorEastAsia"/>
          <w:b/>
          <w:bCs/>
          <w:sz w:val="32"/>
          <w:szCs w:val="32"/>
        </w:rPr>
      </w:pPr>
      <w:r>
        <w:rPr>
          <w:rFonts w:hint="eastAsia" w:asciiTheme="majorEastAsia" w:hAnsiTheme="majorEastAsia" w:eastAsiaTheme="majorEastAsia"/>
          <w:b/>
          <w:bCs/>
          <w:sz w:val="32"/>
          <w:szCs w:val="32"/>
        </w:rPr>
        <w:t>泰州市建设工程质量检测机构综合评价暂行办法</w:t>
      </w:r>
    </w:p>
    <w:p>
      <w:pPr>
        <w:spacing w:afterLines="100" w:line="360" w:lineRule="auto"/>
        <w:jc w:val="center"/>
        <w:rPr>
          <w:rFonts w:hint="eastAsia" w:asciiTheme="majorEastAsia" w:hAnsiTheme="majorEastAsia" w:eastAsiaTheme="majorEastAsia"/>
          <w:b/>
          <w:bCs/>
          <w:sz w:val="32"/>
          <w:szCs w:val="32"/>
        </w:rPr>
      </w:pPr>
      <w:r>
        <w:rPr>
          <w:rFonts w:hint="eastAsia" w:asciiTheme="majorEastAsia" w:hAnsiTheme="majorEastAsia" w:eastAsiaTheme="majorEastAsia"/>
          <w:b/>
          <w:bCs/>
          <w:sz w:val="32"/>
          <w:szCs w:val="32"/>
          <w:lang w:val="en-US" w:eastAsia="zh-CN"/>
        </w:rPr>
        <w:t>（征求意见稿）</w:t>
      </w:r>
      <w:bookmarkStart w:id="1" w:name="_GoBack"/>
      <w:bookmarkEnd w:id="1"/>
    </w:p>
    <w:p>
      <w:pPr>
        <w:pStyle w:val="9"/>
        <w:numPr>
          <w:ilvl w:val="0"/>
          <w:numId w:val="1"/>
        </w:numPr>
        <w:ind w:firstLineChars="0"/>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总则</w:t>
      </w:r>
    </w:p>
    <w:p>
      <w:pPr>
        <w:ind w:firstLine="602" w:firstLineChars="200"/>
        <w:rPr>
          <w:rFonts w:asciiTheme="majorEastAsia" w:hAnsiTheme="majorEastAsia" w:eastAsiaTheme="majorEastAsia"/>
          <w:sz w:val="30"/>
          <w:szCs w:val="30"/>
        </w:rPr>
      </w:pPr>
      <w:r>
        <w:rPr>
          <w:rFonts w:asciiTheme="minorEastAsia" w:hAnsiTheme="minorEastAsia"/>
          <w:b/>
          <w:bCs/>
          <w:sz w:val="30"/>
          <w:szCs w:val="30"/>
        </w:rPr>
        <w:t>第一条</w:t>
      </w:r>
      <w:r>
        <w:rPr>
          <w:rFonts w:hint="eastAsia" w:ascii="Times New Roman" w:eastAsia="仿宋_GB2312"/>
          <w:b/>
          <w:bCs/>
          <w:sz w:val="32"/>
          <w:szCs w:val="32"/>
        </w:rPr>
        <w:t xml:space="preserve"> </w:t>
      </w:r>
      <w:r>
        <w:rPr>
          <w:rFonts w:hint="eastAsia" w:cs="宋体" w:asciiTheme="majorEastAsia" w:hAnsiTheme="majorEastAsia" w:eastAsiaTheme="majorEastAsia"/>
          <w:sz w:val="28"/>
          <w:szCs w:val="28"/>
        </w:rPr>
        <w:t>为规范建设工程质量检测机构检测活动，进一步提高建设工程质量检测的真实性、公正性、准确性，开展建设工程质量检测机构综合等级评价工作。根据《建设工程质量检测管理办法》（建设部令第141号）、《建设工程质量责任主体和有关机构不良行为记录管理办法》、《建设工程质量检测行为执法检查手册》、</w:t>
      </w:r>
      <w:r>
        <w:rPr>
          <w:rFonts w:hint="eastAsia" w:asciiTheme="majorEastAsia" w:hAnsiTheme="majorEastAsia" w:eastAsiaTheme="majorEastAsia"/>
          <w:sz w:val="28"/>
        </w:rPr>
        <w:t>《建设工程质量检测规程》DGJ32/21-2009、《建设工程质量检测机构监管要求》（泰建质〔2020〕29号）和《关于使用静荷载试验数据自动采集上传系统的通知》（泰建发〔2017〕181号）</w:t>
      </w:r>
      <w:r>
        <w:rPr>
          <w:rFonts w:hint="eastAsia" w:cs="宋体" w:asciiTheme="majorEastAsia" w:hAnsiTheme="majorEastAsia" w:eastAsiaTheme="majorEastAsia"/>
          <w:sz w:val="28"/>
          <w:szCs w:val="28"/>
        </w:rPr>
        <w:t>等文件精神，结合我市实际情况，制定本办法。</w:t>
      </w:r>
    </w:p>
    <w:p>
      <w:pPr>
        <w:ind w:firstLine="602" w:firstLineChars="200"/>
        <w:rPr>
          <w:rFonts w:asciiTheme="minorEastAsia" w:hAnsiTheme="minorEastAsia"/>
          <w:sz w:val="28"/>
          <w:szCs w:val="28"/>
        </w:rPr>
      </w:pPr>
      <w:r>
        <w:rPr>
          <w:rFonts w:asciiTheme="majorEastAsia" w:hAnsiTheme="majorEastAsia" w:eastAsiaTheme="majorEastAsia"/>
          <w:b/>
          <w:bCs/>
          <w:sz w:val="30"/>
          <w:szCs w:val="30"/>
        </w:rPr>
        <w:t>第二条</w:t>
      </w:r>
      <w:r>
        <w:rPr>
          <w:rFonts w:asciiTheme="minorEastAsia" w:hAnsiTheme="minorEastAsia"/>
          <w:sz w:val="30"/>
          <w:szCs w:val="30"/>
        </w:rPr>
        <w:tab/>
      </w:r>
      <w:r>
        <w:rPr>
          <w:rFonts w:hint="eastAsia" w:asciiTheme="minorEastAsia" w:hAnsiTheme="minorEastAsia"/>
          <w:sz w:val="30"/>
          <w:szCs w:val="30"/>
        </w:rPr>
        <w:t xml:space="preserve"> </w:t>
      </w:r>
      <w:r>
        <w:rPr>
          <w:rFonts w:hint="eastAsia" w:ascii="Times New Roman" w:hAnsi="Times New Roman"/>
          <w:sz w:val="28"/>
          <w:szCs w:val="28"/>
        </w:rPr>
        <w:t>建设工程质量检测机构（以下简称检测机构）</w:t>
      </w:r>
      <w:r>
        <w:rPr>
          <w:rFonts w:hint="eastAsia" w:ascii="宋体" w:hAnsi="宋体" w:cs="宋体"/>
          <w:sz w:val="28"/>
          <w:szCs w:val="28"/>
        </w:rPr>
        <w:t>综合评价工作遵循科学、客观、公开、公正的原则,</w:t>
      </w:r>
      <w:r>
        <w:rPr>
          <w:rFonts w:ascii="宋体" w:hAnsi="宋体" w:eastAsia="宋体" w:cs="Times New Roman"/>
          <w:sz w:val="28"/>
          <w:szCs w:val="28"/>
        </w:rPr>
        <w:t>在</w:t>
      </w:r>
      <w:r>
        <w:rPr>
          <w:rFonts w:hint="eastAsia" w:ascii="宋体" w:hAnsi="宋体" w:eastAsia="宋体" w:cs="Times New Roman"/>
          <w:sz w:val="28"/>
          <w:szCs w:val="28"/>
        </w:rPr>
        <w:t>泰州市</w:t>
      </w:r>
      <w:r>
        <w:rPr>
          <w:rFonts w:ascii="宋体" w:hAnsi="宋体" w:eastAsia="宋体" w:cs="Times New Roman"/>
          <w:sz w:val="28"/>
          <w:szCs w:val="28"/>
        </w:rPr>
        <w:t>行政区域内，</w:t>
      </w:r>
      <w:r>
        <w:rPr>
          <w:rFonts w:hint="eastAsia" w:ascii="宋体" w:hAnsi="宋体" w:eastAsia="宋体" w:cs="Times New Roman"/>
          <w:sz w:val="28"/>
          <w:szCs w:val="28"/>
        </w:rPr>
        <w:t>由评价实施单位对</w:t>
      </w:r>
      <w:r>
        <w:rPr>
          <w:rFonts w:hint="eastAsia" w:ascii="Times New Roman" w:hAnsi="Times New Roman"/>
          <w:sz w:val="28"/>
          <w:szCs w:val="28"/>
        </w:rPr>
        <w:t>依法取得省建设行政主管部门核发的资质证书的检测机构</w:t>
      </w:r>
      <w:r>
        <w:rPr>
          <w:rFonts w:hint="eastAsia" w:ascii="宋体" w:hAnsi="宋体" w:eastAsia="宋体" w:cs="Times New Roman"/>
          <w:sz w:val="28"/>
          <w:szCs w:val="28"/>
        </w:rPr>
        <w:t>进行</w:t>
      </w:r>
      <w:r>
        <w:rPr>
          <w:rFonts w:ascii="宋体" w:hAnsi="宋体" w:eastAsia="宋体" w:cs="Times New Roman"/>
          <w:sz w:val="28"/>
          <w:szCs w:val="28"/>
        </w:rPr>
        <w:t>综合评价。</w:t>
      </w:r>
    </w:p>
    <w:p>
      <w:pPr>
        <w:shd w:val="clear" w:color="auto" w:fill="FFFFFF"/>
        <w:spacing w:line="600" w:lineRule="exact"/>
        <w:ind w:firstLine="639"/>
        <w:rPr>
          <w:rFonts w:cs="Times New Roman" w:asciiTheme="majorEastAsia" w:hAnsiTheme="majorEastAsia" w:eastAsiaTheme="majorEastAsia"/>
          <w:sz w:val="30"/>
          <w:szCs w:val="30"/>
        </w:rPr>
      </w:pPr>
      <w:r>
        <w:rPr>
          <w:rFonts w:asciiTheme="majorEastAsia" w:hAnsiTheme="majorEastAsia" w:eastAsiaTheme="majorEastAsia"/>
          <w:b/>
          <w:bCs/>
          <w:sz w:val="30"/>
          <w:szCs w:val="30"/>
        </w:rPr>
        <w:t>第</w:t>
      </w:r>
      <w:r>
        <w:rPr>
          <w:rFonts w:hint="eastAsia" w:asciiTheme="majorEastAsia" w:hAnsiTheme="majorEastAsia" w:eastAsiaTheme="majorEastAsia"/>
          <w:b/>
          <w:bCs/>
          <w:sz w:val="30"/>
          <w:szCs w:val="30"/>
        </w:rPr>
        <w:t>三</w:t>
      </w:r>
      <w:r>
        <w:rPr>
          <w:rFonts w:asciiTheme="majorEastAsia" w:hAnsiTheme="majorEastAsia" w:eastAsiaTheme="majorEastAsia"/>
          <w:b/>
          <w:bCs/>
          <w:sz w:val="30"/>
          <w:szCs w:val="30"/>
        </w:rPr>
        <w:t>条</w:t>
      </w:r>
      <w:r>
        <w:rPr>
          <w:rFonts w:hint="eastAsia" w:ascii="Times New Roman" w:eastAsia="仿宋_GB2312"/>
          <w:b/>
          <w:bCs/>
          <w:sz w:val="32"/>
          <w:szCs w:val="32"/>
        </w:rPr>
        <w:t xml:space="preserve"> </w:t>
      </w:r>
      <w:r>
        <w:rPr>
          <w:rFonts w:hint="eastAsia" w:cs="宋体" w:asciiTheme="majorEastAsia" w:hAnsiTheme="majorEastAsia" w:eastAsiaTheme="majorEastAsia"/>
          <w:sz w:val="28"/>
          <w:szCs w:val="28"/>
        </w:rPr>
        <w:t>综合评价等级有效期为</w:t>
      </w:r>
      <w:r>
        <w:rPr>
          <w:rFonts w:hint="eastAsia" w:asciiTheme="majorEastAsia" w:hAnsiTheme="majorEastAsia" w:eastAsiaTheme="majorEastAsia"/>
          <w:b/>
          <w:sz w:val="28"/>
        </w:rPr>
        <w:t>1</w:t>
      </w:r>
      <w:r>
        <w:rPr>
          <w:rFonts w:hint="eastAsia" w:cs="宋体" w:asciiTheme="majorEastAsia" w:hAnsiTheme="majorEastAsia" w:eastAsiaTheme="majorEastAsia"/>
          <w:sz w:val="28"/>
          <w:szCs w:val="28"/>
        </w:rPr>
        <w:t>年，检测机构每年</w:t>
      </w:r>
      <w:r>
        <w:rPr>
          <w:rFonts w:hint="eastAsia" w:asciiTheme="majorEastAsia" w:hAnsiTheme="majorEastAsia" w:eastAsiaTheme="majorEastAsia"/>
          <w:b/>
          <w:sz w:val="28"/>
        </w:rPr>
        <w:t>5</w:t>
      </w:r>
      <w:r>
        <w:rPr>
          <w:rFonts w:hint="eastAsia" w:cs="宋体" w:asciiTheme="majorEastAsia" w:hAnsiTheme="majorEastAsia" w:eastAsiaTheme="majorEastAsia"/>
          <w:sz w:val="28"/>
          <w:szCs w:val="28"/>
        </w:rPr>
        <w:t>月申报自评材料。</w:t>
      </w:r>
    </w:p>
    <w:p>
      <w:pPr>
        <w:shd w:val="clear" w:color="auto" w:fill="FFFFFF"/>
        <w:spacing w:line="600" w:lineRule="exact"/>
        <w:ind w:firstLine="639"/>
        <w:rPr>
          <w:rFonts w:ascii="宋体" w:hAnsi="宋体" w:eastAsia="宋体" w:cs="Times New Roman"/>
          <w:sz w:val="30"/>
          <w:szCs w:val="30"/>
        </w:rPr>
      </w:pPr>
      <w:r>
        <w:rPr>
          <w:rFonts w:asciiTheme="majorEastAsia" w:hAnsiTheme="majorEastAsia" w:eastAsiaTheme="majorEastAsia"/>
          <w:b/>
          <w:bCs/>
          <w:sz w:val="30"/>
          <w:szCs w:val="30"/>
        </w:rPr>
        <w:t>第</w:t>
      </w:r>
      <w:r>
        <w:rPr>
          <w:rFonts w:hint="eastAsia" w:asciiTheme="majorEastAsia" w:hAnsiTheme="majorEastAsia" w:eastAsiaTheme="majorEastAsia"/>
          <w:b/>
          <w:bCs/>
          <w:sz w:val="30"/>
          <w:szCs w:val="30"/>
        </w:rPr>
        <w:t>四</w:t>
      </w:r>
      <w:r>
        <w:rPr>
          <w:rFonts w:asciiTheme="majorEastAsia" w:hAnsiTheme="majorEastAsia" w:eastAsiaTheme="majorEastAsia"/>
          <w:b/>
          <w:bCs/>
          <w:sz w:val="30"/>
          <w:szCs w:val="30"/>
        </w:rPr>
        <w:t>条</w:t>
      </w:r>
      <w:r>
        <w:rPr>
          <w:rFonts w:hint="eastAsia" w:ascii="宋体" w:hAnsi="宋体" w:eastAsia="宋体" w:cs="Times New Roman"/>
          <w:b/>
          <w:bCs/>
          <w:sz w:val="30"/>
          <w:szCs w:val="30"/>
        </w:rPr>
        <w:t xml:space="preserve"> </w:t>
      </w:r>
      <w:r>
        <w:rPr>
          <w:rFonts w:hint="eastAsia" w:cs="Times New Roman" w:asciiTheme="minorEastAsia" w:hAnsiTheme="minorEastAsia"/>
          <w:sz w:val="28"/>
          <w:szCs w:val="28"/>
        </w:rPr>
        <w:t>泰州市</w:t>
      </w:r>
      <w:r>
        <w:rPr>
          <w:rFonts w:cs="Times New Roman" w:asciiTheme="minorEastAsia" w:hAnsiTheme="minorEastAsia"/>
          <w:sz w:val="28"/>
          <w:szCs w:val="28"/>
        </w:rPr>
        <w:t>住房和城乡建设</w:t>
      </w:r>
      <w:r>
        <w:rPr>
          <w:rFonts w:hint="eastAsia" w:cs="Times New Roman" w:asciiTheme="minorEastAsia" w:hAnsiTheme="minorEastAsia"/>
          <w:sz w:val="28"/>
          <w:szCs w:val="28"/>
        </w:rPr>
        <w:t>局</w:t>
      </w:r>
      <w:r>
        <w:rPr>
          <w:rFonts w:cs="Times New Roman" w:asciiTheme="minorEastAsia" w:hAnsiTheme="minorEastAsia"/>
          <w:sz w:val="28"/>
          <w:szCs w:val="28"/>
        </w:rPr>
        <w:t>（以下简称</w:t>
      </w:r>
      <w:r>
        <w:rPr>
          <w:rFonts w:hint="eastAsia" w:cs="Times New Roman" w:asciiTheme="minorEastAsia" w:hAnsiTheme="minorEastAsia"/>
          <w:sz w:val="28"/>
          <w:szCs w:val="28"/>
        </w:rPr>
        <w:t>市</w:t>
      </w:r>
      <w:r>
        <w:rPr>
          <w:rFonts w:cs="Times New Roman" w:asciiTheme="minorEastAsia" w:hAnsiTheme="minorEastAsia"/>
          <w:sz w:val="28"/>
          <w:szCs w:val="28"/>
        </w:rPr>
        <w:t>住建</w:t>
      </w:r>
      <w:r>
        <w:rPr>
          <w:rFonts w:hint="eastAsia" w:cs="Times New Roman" w:asciiTheme="minorEastAsia" w:hAnsiTheme="minorEastAsia"/>
          <w:sz w:val="28"/>
          <w:szCs w:val="28"/>
        </w:rPr>
        <w:t>局</w:t>
      </w:r>
      <w:r>
        <w:rPr>
          <w:rFonts w:cs="Times New Roman" w:asciiTheme="minorEastAsia" w:hAnsiTheme="minorEastAsia"/>
          <w:sz w:val="28"/>
          <w:szCs w:val="28"/>
        </w:rPr>
        <w:t>）是全</w:t>
      </w:r>
      <w:r>
        <w:rPr>
          <w:rFonts w:hint="eastAsia" w:cs="Times New Roman" w:asciiTheme="minorEastAsia" w:hAnsiTheme="minorEastAsia"/>
          <w:sz w:val="28"/>
          <w:szCs w:val="28"/>
        </w:rPr>
        <w:t>市检测机构</w:t>
      </w:r>
      <w:r>
        <w:rPr>
          <w:rFonts w:cs="Times New Roman" w:asciiTheme="minorEastAsia" w:hAnsiTheme="minorEastAsia"/>
          <w:sz w:val="28"/>
          <w:szCs w:val="28"/>
        </w:rPr>
        <w:t>综合评价的主管部门，负责制定评价标准和管理制度，对</w:t>
      </w:r>
      <w:r>
        <w:rPr>
          <w:rFonts w:hint="eastAsia" w:cs="Times New Roman" w:asciiTheme="minorEastAsia" w:hAnsiTheme="minorEastAsia"/>
          <w:sz w:val="28"/>
          <w:szCs w:val="28"/>
        </w:rPr>
        <w:t>检测机构</w:t>
      </w:r>
      <w:r>
        <w:rPr>
          <w:rFonts w:cs="Times New Roman" w:asciiTheme="minorEastAsia" w:hAnsiTheme="minorEastAsia"/>
          <w:sz w:val="28"/>
          <w:szCs w:val="28"/>
        </w:rPr>
        <w:t>综合评价工作实施监督指导</w:t>
      </w:r>
      <w:r>
        <w:rPr>
          <w:rFonts w:hint="eastAsia" w:cs="Times New Roman" w:asciiTheme="minorEastAsia" w:hAnsiTheme="minorEastAsia"/>
          <w:sz w:val="28"/>
          <w:szCs w:val="28"/>
        </w:rPr>
        <w:t>，</w:t>
      </w:r>
      <w:r>
        <w:rPr>
          <w:rFonts w:cs="Times New Roman" w:asciiTheme="minorEastAsia" w:hAnsiTheme="minorEastAsia"/>
          <w:sz w:val="28"/>
          <w:szCs w:val="28"/>
        </w:rPr>
        <w:t>发布</w:t>
      </w:r>
      <w:r>
        <w:rPr>
          <w:rFonts w:hint="eastAsia" w:cs="Times New Roman" w:asciiTheme="minorEastAsia" w:hAnsiTheme="minorEastAsia"/>
          <w:sz w:val="28"/>
          <w:szCs w:val="28"/>
        </w:rPr>
        <w:t>检测机构</w:t>
      </w:r>
      <w:r>
        <w:rPr>
          <w:rFonts w:cs="Times New Roman" w:asciiTheme="minorEastAsia" w:hAnsiTheme="minorEastAsia"/>
          <w:sz w:val="28"/>
          <w:szCs w:val="28"/>
        </w:rPr>
        <w:t>综合评价结果</w:t>
      </w:r>
      <w:r>
        <w:rPr>
          <w:rFonts w:hint="eastAsia" w:cs="Times New Roman" w:asciiTheme="minorEastAsia" w:hAnsiTheme="minorEastAsia"/>
          <w:sz w:val="28"/>
          <w:szCs w:val="28"/>
        </w:rPr>
        <w:t>，</w:t>
      </w:r>
      <w:r>
        <w:rPr>
          <w:rFonts w:cs="Times New Roman" w:asciiTheme="minorEastAsia" w:hAnsiTheme="minorEastAsia"/>
          <w:sz w:val="28"/>
          <w:szCs w:val="28"/>
        </w:rPr>
        <w:t>委托</w:t>
      </w:r>
      <w:r>
        <w:rPr>
          <w:rFonts w:hint="eastAsia" w:cs="Times New Roman" w:asciiTheme="minorEastAsia" w:hAnsiTheme="minorEastAsia"/>
          <w:sz w:val="28"/>
          <w:szCs w:val="28"/>
        </w:rPr>
        <w:t>泰州市建设工程质量监督站</w:t>
      </w:r>
      <w:r>
        <w:rPr>
          <w:rFonts w:cs="Times New Roman" w:asciiTheme="minorEastAsia" w:hAnsiTheme="minorEastAsia"/>
          <w:sz w:val="28"/>
          <w:szCs w:val="28"/>
        </w:rPr>
        <w:t>（以下简称</w:t>
      </w:r>
      <w:r>
        <w:rPr>
          <w:rFonts w:hint="eastAsia" w:cs="Times New Roman" w:asciiTheme="minorEastAsia" w:hAnsiTheme="minorEastAsia"/>
          <w:sz w:val="28"/>
          <w:szCs w:val="28"/>
        </w:rPr>
        <w:t>市质监站</w:t>
      </w:r>
      <w:r>
        <w:rPr>
          <w:rFonts w:cs="Times New Roman" w:asciiTheme="minorEastAsia" w:hAnsiTheme="minorEastAsia"/>
          <w:sz w:val="28"/>
          <w:szCs w:val="28"/>
        </w:rPr>
        <w:t>）</w:t>
      </w:r>
      <w:r>
        <w:rPr>
          <w:rFonts w:hint="eastAsia" w:cs="Times New Roman" w:asciiTheme="minorEastAsia" w:hAnsiTheme="minorEastAsia"/>
          <w:sz w:val="28"/>
          <w:szCs w:val="28"/>
        </w:rPr>
        <w:t>实施检测机构</w:t>
      </w:r>
      <w:r>
        <w:rPr>
          <w:rFonts w:cs="Times New Roman" w:asciiTheme="minorEastAsia" w:hAnsiTheme="minorEastAsia"/>
          <w:sz w:val="28"/>
          <w:szCs w:val="28"/>
        </w:rPr>
        <w:t>综合评价工作</w:t>
      </w:r>
      <w:r>
        <w:rPr>
          <w:rFonts w:hint="eastAsia" w:cs="Times New Roman" w:asciiTheme="minorEastAsia" w:hAnsiTheme="minorEastAsia"/>
          <w:sz w:val="28"/>
          <w:szCs w:val="28"/>
        </w:rPr>
        <w:t>。</w:t>
      </w:r>
      <w:r>
        <w:rPr>
          <w:rFonts w:ascii="宋体" w:hAnsi="宋体" w:eastAsia="宋体" w:cs="Times New Roman"/>
          <w:sz w:val="30"/>
          <w:szCs w:val="30"/>
        </w:rPr>
        <w:t xml:space="preserve"> </w:t>
      </w:r>
    </w:p>
    <w:p>
      <w:pPr>
        <w:shd w:val="clear" w:color="auto" w:fill="FFFFFF"/>
        <w:spacing w:line="600" w:lineRule="exact"/>
        <w:jc w:val="center"/>
        <w:rPr>
          <w:rFonts w:ascii="宋体" w:hAnsi="宋体" w:eastAsia="宋体" w:cs="Times New Roman"/>
          <w:sz w:val="30"/>
          <w:szCs w:val="30"/>
        </w:rPr>
      </w:pPr>
      <w:r>
        <w:rPr>
          <w:rFonts w:hint="eastAsia" w:asciiTheme="majorEastAsia" w:hAnsiTheme="majorEastAsia" w:eastAsiaTheme="majorEastAsia"/>
          <w:b/>
          <w:bCs/>
          <w:sz w:val="32"/>
          <w:szCs w:val="32"/>
        </w:rPr>
        <w:t xml:space="preserve">第二章 </w:t>
      </w:r>
      <w:r>
        <w:rPr>
          <w:rFonts w:asciiTheme="majorEastAsia" w:hAnsiTheme="majorEastAsia" w:eastAsiaTheme="majorEastAsia"/>
          <w:b/>
          <w:bCs/>
          <w:sz w:val="32"/>
          <w:szCs w:val="32"/>
        </w:rPr>
        <w:t>评价</w:t>
      </w:r>
      <w:r>
        <w:rPr>
          <w:rFonts w:hint="eastAsia" w:asciiTheme="majorEastAsia" w:hAnsiTheme="majorEastAsia" w:eastAsiaTheme="majorEastAsia"/>
          <w:b/>
          <w:bCs/>
          <w:sz w:val="32"/>
          <w:szCs w:val="32"/>
        </w:rPr>
        <w:t xml:space="preserve">内容及方法 </w:t>
      </w:r>
    </w:p>
    <w:p>
      <w:pPr>
        <w:shd w:val="clear" w:color="auto" w:fill="FFFFFF"/>
        <w:spacing w:line="600" w:lineRule="exact"/>
        <w:ind w:firstLine="639"/>
        <w:rPr>
          <w:rFonts w:ascii="宋体" w:hAnsi="宋体" w:eastAsia="宋体" w:cs="Times New Roman"/>
          <w:sz w:val="30"/>
          <w:szCs w:val="30"/>
        </w:rPr>
      </w:pPr>
      <w:r>
        <w:rPr>
          <w:rFonts w:asciiTheme="majorEastAsia" w:hAnsiTheme="majorEastAsia" w:eastAsiaTheme="majorEastAsia"/>
          <w:b/>
          <w:bCs/>
          <w:sz w:val="30"/>
          <w:szCs w:val="30"/>
        </w:rPr>
        <w:t>第</w:t>
      </w:r>
      <w:r>
        <w:rPr>
          <w:rFonts w:hint="eastAsia" w:asciiTheme="majorEastAsia" w:hAnsiTheme="majorEastAsia" w:eastAsiaTheme="majorEastAsia"/>
          <w:b/>
          <w:bCs/>
          <w:sz w:val="30"/>
          <w:szCs w:val="30"/>
        </w:rPr>
        <w:t>五</w:t>
      </w:r>
      <w:r>
        <w:rPr>
          <w:rFonts w:asciiTheme="majorEastAsia" w:hAnsiTheme="majorEastAsia" w:eastAsiaTheme="majorEastAsia"/>
          <w:b/>
          <w:bCs/>
          <w:sz w:val="30"/>
          <w:szCs w:val="30"/>
        </w:rPr>
        <w:t>条</w:t>
      </w:r>
      <w:r>
        <w:rPr>
          <w:rFonts w:hint="eastAsia" w:ascii="Times New Roman" w:eastAsia="仿宋_GB2312"/>
          <w:b/>
          <w:bCs/>
          <w:sz w:val="32"/>
          <w:szCs w:val="32"/>
        </w:rPr>
        <w:t xml:space="preserve"> </w:t>
      </w:r>
      <w:r>
        <w:rPr>
          <w:rFonts w:cs="Times New Roman" w:asciiTheme="minorEastAsia" w:hAnsiTheme="minorEastAsia"/>
          <w:sz w:val="28"/>
          <w:szCs w:val="28"/>
        </w:rPr>
        <w:t>参加综合评价的</w:t>
      </w:r>
      <w:r>
        <w:rPr>
          <w:rFonts w:hint="eastAsia" w:cs="Times New Roman" w:asciiTheme="minorEastAsia" w:hAnsiTheme="minorEastAsia"/>
          <w:sz w:val="28"/>
          <w:szCs w:val="28"/>
        </w:rPr>
        <w:t>检测机构</w:t>
      </w:r>
      <w:r>
        <w:rPr>
          <w:rFonts w:cs="Times New Roman" w:asciiTheme="minorEastAsia" w:hAnsiTheme="minorEastAsia"/>
          <w:sz w:val="28"/>
          <w:szCs w:val="28"/>
        </w:rPr>
        <w:t>须填写《</w:t>
      </w:r>
      <w:r>
        <w:rPr>
          <w:rFonts w:hint="eastAsia" w:cs="Times New Roman" w:asciiTheme="minorEastAsia" w:hAnsiTheme="minorEastAsia"/>
          <w:sz w:val="28"/>
          <w:szCs w:val="28"/>
        </w:rPr>
        <w:t>泰州市检测机构</w:t>
      </w:r>
      <w:r>
        <w:rPr>
          <w:rFonts w:cs="Times New Roman" w:asciiTheme="minorEastAsia" w:hAnsiTheme="minorEastAsia"/>
          <w:sz w:val="28"/>
          <w:szCs w:val="28"/>
        </w:rPr>
        <w:t>综合评价承诺书》</w:t>
      </w:r>
      <w:r>
        <w:rPr>
          <w:rFonts w:hint="eastAsia" w:cs="Times New Roman" w:asciiTheme="minorEastAsia" w:hAnsiTheme="minorEastAsia"/>
          <w:sz w:val="28"/>
          <w:szCs w:val="28"/>
        </w:rPr>
        <w:t>，见</w:t>
      </w:r>
      <w:r>
        <w:rPr>
          <w:rFonts w:cs="Times New Roman" w:asciiTheme="minorEastAsia" w:hAnsiTheme="minorEastAsia"/>
          <w:sz w:val="28"/>
          <w:szCs w:val="28"/>
        </w:rPr>
        <w:t>附件1。</w:t>
      </w:r>
    </w:p>
    <w:p>
      <w:pPr>
        <w:shd w:val="clear" w:color="auto" w:fill="FFFFFF"/>
        <w:spacing w:line="600" w:lineRule="exact"/>
        <w:ind w:firstLine="639"/>
        <w:rPr>
          <w:rFonts w:ascii="Times New Roman" w:hAnsi="Times New Roman"/>
          <w:sz w:val="28"/>
        </w:rPr>
      </w:pPr>
      <w:r>
        <w:rPr>
          <w:rFonts w:asciiTheme="majorEastAsia" w:hAnsiTheme="majorEastAsia" w:eastAsiaTheme="majorEastAsia"/>
          <w:b/>
          <w:bCs/>
          <w:sz w:val="30"/>
          <w:szCs w:val="30"/>
        </w:rPr>
        <w:t>第</w:t>
      </w:r>
      <w:r>
        <w:rPr>
          <w:rFonts w:hint="eastAsia" w:asciiTheme="majorEastAsia" w:hAnsiTheme="majorEastAsia" w:eastAsiaTheme="majorEastAsia"/>
          <w:b/>
          <w:bCs/>
          <w:sz w:val="30"/>
          <w:szCs w:val="30"/>
        </w:rPr>
        <w:t>六</w:t>
      </w:r>
      <w:r>
        <w:rPr>
          <w:rFonts w:asciiTheme="majorEastAsia" w:hAnsiTheme="majorEastAsia" w:eastAsiaTheme="majorEastAsia"/>
          <w:b/>
          <w:bCs/>
          <w:sz w:val="30"/>
          <w:szCs w:val="30"/>
        </w:rPr>
        <w:t>条</w:t>
      </w:r>
      <w:r>
        <w:rPr>
          <w:rFonts w:hint="eastAsia" w:ascii="Times New Roman" w:eastAsia="仿宋_GB2312"/>
          <w:b/>
          <w:bCs/>
          <w:sz w:val="32"/>
          <w:szCs w:val="32"/>
        </w:rPr>
        <w:t xml:space="preserve"> </w:t>
      </w:r>
      <w:r>
        <w:rPr>
          <w:rFonts w:hint="eastAsia" w:ascii="Times New Roman" w:hAnsi="Times New Roman"/>
          <w:sz w:val="28"/>
          <w:szCs w:val="28"/>
        </w:rPr>
        <w:t>根据</w:t>
      </w:r>
      <w:r>
        <w:rPr>
          <w:rFonts w:ascii="Times New Roman" w:hAnsi="Times New Roman"/>
          <w:sz w:val="28"/>
          <w:szCs w:val="28"/>
        </w:rPr>
        <w:t>检测机构综合评价</w:t>
      </w:r>
      <w:r>
        <w:rPr>
          <w:rFonts w:hint="eastAsia" w:ascii="Times New Roman" w:hAnsi="Times New Roman"/>
          <w:sz w:val="28"/>
          <w:szCs w:val="28"/>
        </w:rPr>
        <w:t>得分确定其评价等级，《</w:t>
      </w:r>
      <w:r>
        <w:rPr>
          <w:rFonts w:hint="eastAsia" w:cs="Times New Roman" w:asciiTheme="minorEastAsia" w:hAnsiTheme="minorEastAsia"/>
          <w:sz w:val="28"/>
          <w:szCs w:val="28"/>
        </w:rPr>
        <w:t>泰州市</w:t>
      </w:r>
      <w:r>
        <w:rPr>
          <w:rFonts w:cs="Times New Roman" w:asciiTheme="minorEastAsia" w:hAnsiTheme="minorEastAsia"/>
          <w:sz w:val="28"/>
          <w:szCs w:val="28"/>
        </w:rPr>
        <w:t>检测机构</w:t>
      </w:r>
      <w:r>
        <w:rPr>
          <w:rFonts w:hint="eastAsia" w:cs="Times New Roman" w:asciiTheme="minorEastAsia" w:hAnsiTheme="minorEastAsia"/>
          <w:sz w:val="28"/>
          <w:szCs w:val="28"/>
        </w:rPr>
        <w:t>综合评价等级含义和划分标准》</w:t>
      </w:r>
      <w:r>
        <w:rPr>
          <w:rFonts w:hint="eastAsia" w:ascii="Times New Roman" w:hAnsi="Times New Roman"/>
          <w:sz w:val="28"/>
          <w:szCs w:val="28"/>
        </w:rPr>
        <w:t>见</w:t>
      </w:r>
      <w:r>
        <w:rPr>
          <w:rFonts w:hint="eastAsia" w:ascii="宋体" w:hAnsi="宋体" w:eastAsia="宋体" w:cs="Times New Roman"/>
          <w:sz w:val="28"/>
          <w:szCs w:val="28"/>
        </w:rPr>
        <w:t>附件2</w:t>
      </w:r>
      <w:r>
        <w:rPr>
          <w:rFonts w:hint="eastAsia" w:ascii="Times New Roman" w:hAnsi="Times New Roman"/>
          <w:sz w:val="28"/>
          <w:szCs w:val="28"/>
        </w:rPr>
        <w:t>。</w:t>
      </w:r>
    </w:p>
    <w:p>
      <w:pPr>
        <w:shd w:val="clear" w:color="auto" w:fill="FFFFFF"/>
        <w:spacing w:line="600" w:lineRule="exact"/>
        <w:ind w:firstLine="639"/>
        <w:rPr>
          <w:rFonts w:ascii="宋体" w:hAnsi="宋体" w:eastAsia="宋体" w:cs="Times New Roman"/>
          <w:sz w:val="30"/>
          <w:szCs w:val="30"/>
        </w:rPr>
      </w:pPr>
      <w:r>
        <w:rPr>
          <w:rFonts w:hint="eastAsia" w:asciiTheme="majorEastAsia" w:hAnsiTheme="majorEastAsia" w:eastAsiaTheme="majorEastAsia"/>
          <w:b/>
          <w:bCs/>
          <w:sz w:val="30"/>
          <w:szCs w:val="30"/>
        </w:rPr>
        <w:t>第七条</w:t>
      </w:r>
      <w:r>
        <w:rPr>
          <w:rFonts w:hint="eastAsia" w:ascii="宋体" w:hAnsi="宋体" w:eastAsia="宋体" w:cs="Times New Roman"/>
          <w:b/>
          <w:sz w:val="30"/>
          <w:szCs w:val="30"/>
        </w:rPr>
        <w:t xml:space="preserve"> </w:t>
      </w:r>
      <w:r>
        <w:rPr>
          <w:rFonts w:hint="eastAsia" w:cs="Times New Roman" w:asciiTheme="minorEastAsia" w:hAnsiTheme="minorEastAsia"/>
          <w:sz w:val="28"/>
          <w:szCs w:val="28"/>
        </w:rPr>
        <w:t>检测机构</w:t>
      </w:r>
      <w:r>
        <w:rPr>
          <w:rFonts w:cs="Times New Roman" w:asciiTheme="minorEastAsia" w:hAnsiTheme="minorEastAsia"/>
          <w:sz w:val="28"/>
          <w:szCs w:val="28"/>
        </w:rPr>
        <w:t>综合评价</w:t>
      </w:r>
      <w:r>
        <w:rPr>
          <w:rFonts w:hint="eastAsia" w:cs="Times New Roman" w:asciiTheme="minorEastAsia" w:hAnsiTheme="minorEastAsia"/>
          <w:sz w:val="28"/>
          <w:szCs w:val="28"/>
        </w:rPr>
        <w:t>采用百分制，由基本要求、管理要求、技术要求、责任要求、加分项、扣分项、否决项组成。《泰州市</w:t>
      </w:r>
      <w:r>
        <w:rPr>
          <w:rFonts w:hint="eastAsia" w:asciiTheme="minorEastAsia" w:hAnsiTheme="minorEastAsia"/>
          <w:kern w:val="0"/>
          <w:sz w:val="28"/>
          <w:szCs w:val="28"/>
        </w:rPr>
        <w:t>检测机构综合</w:t>
      </w:r>
      <w:r>
        <w:rPr>
          <w:rFonts w:asciiTheme="minorEastAsia" w:hAnsiTheme="minorEastAsia"/>
          <w:kern w:val="0"/>
          <w:sz w:val="28"/>
          <w:szCs w:val="28"/>
        </w:rPr>
        <w:t>评价指标及分值</w:t>
      </w:r>
      <w:r>
        <w:rPr>
          <w:rFonts w:hint="eastAsia" w:asciiTheme="minorEastAsia" w:hAnsiTheme="minorEastAsia"/>
          <w:kern w:val="0"/>
          <w:sz w:val="28"/>
          <w:szCs w:val="28"/>
        </w:rPr>
        <w:t>表</w:t>
      </w:r>
      <w:r>
        <w:rPr>
          <w:rFonts w:hint="eastAsia" w:cs="Times New Roman" w:asciiTheme="minorEastAsia" w:hAnsiTheme="minorEastAsia"/>
          <w:sz w:val="28"/>
          <w:szCs w:val="28"/>
        </w:rPr>
        <w:t>》见附件3。</w:t>
      </w:r>
    </w:p>
    <w:p>
      <w:pPr>
        <w:widowControl/>
        <w:jc w:val="left"/>
        <w:textAlignment w:val="center"/>
        <w:rPr>
          <w:rFonts w:cs="Times New Roman" w:asciiTheme="minorEastAsia" w:hAnsiTheme="minorEastAsia"/>
          <w:sz w:val="28"/>
          <w:szCs w:val="28"/>
        </w:rPr>
      </w:pPr>
      <w:r>
        <w:rPr>
          <w:rFonts w:hint="eastAsia" w:ascii="宋体" w:hAnsi="宋体" w:eastAsia="宋体" w:cs="Times New Roman"/>
          <w:sz w:val="30"/>
          <w:szCs w:val="30"/>
        </w:rPr>
        <w:t xml:space="preserve">    </w:t>
      </w:r>
      <w:r>
        <w:rPr>
          <w:rFonts w:hint="eastAsia" w:cs="Times New Roman" w:asciiTheme="minorEastAsia" w:hAnsiTheme="minorEastAsia"/>
          <w:sz w:val="28"/>
          <w:szCs w:val="28"/>
        </w:rPr>
        <w:t>基本要求包含成立年限、人力资源、检测场所面积、经营规模，最高34分。</w:t>
      </w:r>
    </w:p>
    <w:p>
      <w:pPr>
        <w:widowControl/>
        <w:jc w:val="left"/>
        <w:textAlignment w:val="center"/>
        <w:rPr>
          <w:rFonts w:cs="Times New Roman" w:asciiTheme="minorEastAsia" w:hAnsiTheme="minorEastAsia"/>
          <w:sz w:val="28"/>
          <w:szCs w:val="28"/>
        </w:rPr>
      </w:pPr>
      <w:r>
        <w:rPr>
          <w:rFonts w:hint="eastAsia" w:cs="Times New Roman" w:asciiTheme="minorEastAsia" w:hAnsiTheme="minorEastAsia"/>
          <w:sz w:val="28"/>
          <w:szCs w:val="28"/>
        </w:rPr>
        <w:t xml:space="preserve">    管理要求包含资质、管理体系、档案管理、信息化管理、服务质量评价、安全生产管理，最高30分。</w:t>
      </w:r>
    </w:p>
    <w:p>
      <w:pPr>
        <w:shd w:val="clear" w:color="auto" w:fill="FFFFFF"/>
        <w:spacing w:line="600" w:lineRule="exact"/>
        <w:ind w:firstLine="639"/>
        <w:rPr>
          <w:rFonts w:asciiTheme="minorEastAsia" w:hAnsiTheme="minorEastAsia"/>
          <w:kern w:val="0"/>
          <w:sz w:val="28"/>
          <w:szCs w:val="28"/>
        </w:rPr>
      </w:pPr>
      <w:r>
        <w:rPr>
          <w:rFonts w:hint="eastAsia" w:asciiTheme="minorEastAsia" w:hAnsiTheme="minorEastAsia"/>
          <w:kern w:val="0"/>
          <w:sz w:val="28"/>
          <w:szCs w:val="28"/>
        </w:rPr>
        <w:t>技术要求包含人员能力、设备管理、场所环境、样品管理、检测标准、记录控制、检测报告、能力验证，最高32分。</w:t>
      </w:r>
    </w:p>
    <w:p>
      <w:pPr>
        <w:shd w:val="clear" w:color="auto" w:fill="FFFFFF"/>
        <w:spacing w:line="600" w:lineRule="exact"/>
        <w:ind w:firstLine="639"/>
        <w:rPr>
          <w:rFonts w:ascii="Times New Roman" w:hAnsi="Times New Roman"/>
          <w:kern w:val="0"/>
          <w:sz w:val="30"/>
          <w:szCs w:val="30"/>
        </w:rPr>
      </w:pPr>
      <w:r>
        <w:rPr>
          <w:rFonts w:hint="eastAsia" w:asciiTheme="minorEastAsia" w:hAnsiTheme="minorEastAsia"/>
          <w:kern w:val="0"/>
          <w:sz w:val="28"/>
          <w:szCs w:val="28"/>
        </w:rPr>
        <w:t>责任要求包含公共责任、危化品管控，最高4分。</w:t>
      </w:r>
    </w:p>
    <w:p>
      <w:pPr>
        <w:shd w:val="clear" w:color="auto" w:fill="FFFFFF"/>
        <w:spacing w:line="600" w:lineRule="exact"/>
        <w:ind w:firstLine="639"/>
        <w:rPr>
          <w:rFonts w:cs="Times New Roman" w:asciiTheme="majorEastAsia" w:hAnsiTheme="majorEastAsia" w:eastAsiaTheme="majorEastAsia"/>
          <w:b/>
          <w:sz w:val="30"/>
          <w:szCs w:val="30"/>
        </w:rPr>
      </w:pPr>
      <w:r>
        <w:rPr>
          <w:rFonts w:asciiTheme="majorEastAsia" w:hAnsiTheme="majorEastAsia" w:eastAsiaTheme="majorEastAsia"/>
          <w:b/>
          <w:bCs/>
          <w:sz w:val="30"/>
          <w:szCs w:val="30"/>
        </w:rPr>
        <w:t>第</w:t>
      </w:r>
      <w:r>
        <w:rPr>
          <w:rFonts w:hint="eastAsia" w:asciiTheme="majorEastAsia" w:hAnsiTheme="majorEastAsia" w:eastAsiaTheme="majorEastAsia"/>
          <w:b/>
          <w:bCs/>
          <w:sz w:val="30"/>
          <w:szCs w:val="30"/>
        </w:rPr>
        <w:t>八</w:t>
      </w:r>
      <w:r>
        <w:rPr>
          <w:rFonts w:asciiTheme="majorEastAsia" w:hAnsiTheme="majorEastAsia" w:eastAsiaTheme="majorEastAsia"/>
          <w:b/>
          <w:bCs/>
          <w:sz w:val="30"/>
          <w:szCs w:val="30"/>
        </w:rPr>
        <w:t>条</w:t>
      </w:r>
      <w:r>
        <w:rPr>
          <w:rFonts w:hint="eastAsia" w:ascii="宋体" w:hAnsi="宋体" w:eastAsia="宋体" w:cs="Times New Roman"/>
          <w:b/>
          <w:sz w:val="30"/>
          <w:szCs w:val="30"/>
        </w:rPr>
        <w:t xml:space="preserve"> </w:t>
      </w:r>
      <w:r>
        <w:rPr>
          <w:rFonts w:hint="eastAsia" w:asciiTheme="majorEastAsia" w:hAnsiTheme="majorEastAsia" w:eastAsiaTheme="majorEastAsia"/>
          <w:sz w:val="28"/>
        </w:rPr>
        <w:t>检测机构综合评价</w:t>
      </w:r>
      <w:r>
        <w:rPr>
          <w:rFonts w:asciiTheme="majorEastAsia" w:hAnsiTheme="majorEastAsia" w:eastAsiaTheme="majorEastAsia"/>
          <w:sz w:val="28"/>
        </w:rPr>
        <w:t>采用综合评分制</w:t>
      </w:r>
      <w:r>
        <w:rPr>
          <w:rFonts w:hint="eastAsia" w:asciiTheme="majorEastAsia" w:hAnsiTheme="majorEastAsia" w:eastAsiaTheme="majorEastAsia"/>
          <w:sz w:val="28"/>
        </w:rPr>
        <w:t>，</w:t>
      </w:r>
      <w:r>
        <w:rPr>
          <w:rFonts w:asciiTheme="majorEastAsia" w:hAnsiTheme="majorEastAsia" w:eastAsiaTheme="majorEastAsia"/>
          <w:sz w:val="28"/>
        </w:rPr>
        <w:t>若有否决项指标，应“一票否决”，终止评价。</w:t>
      </w:r>
    </w:p>
    <w:p>
      <w:pPr>
        <w:shd w:val="clear" w:color="auto" w:fill="FFFFFF"/>
        <w:spacing w:line="600" w:lineRule="exact"/>
        <w:ind w:firstLine="639"/>
        <w:rPr>
          <w:rFonts w:asciiTheme="majorEastAsia" w:hAnsiTheme="majorEastAsia" w:eastAsiaTheme="majorEastAsia"/>
          <w:sz w:val="28"/>
        </w:rPr>
      </w:pPr>
      <w:r>
        <w:rPr>
          <w:rFonts w:hint="eastAsia" w:asciiTheme="majorEastAsia" w:hAnsiTheme="majorEastAsia" w:eastAsiaTheme="majorEastAsia"/>
          <w:b/>
          <w:bCs/>
          <w:sz w:val="30"/>
          <w:szCs w:val="30"/>
        </w:rPr>
        <w:t>第九条</w:t>
      </w:r>
      <w:r>
        <w:rPr>
          <w:rFonts w:hint="eastAsia" w:cs="Times New Roman" w:asciiTheme="majorEastAsia" w:hAnsiTheme="majorEastAsia" w:eastAsiaTheme="majorEastAsia"/>
          <w:b/>
          <w:sz w:val="30"/>
          <w:szCs w:val="30"/>
        </w:rPr>
        <w:t xml:space="preserve"> </w:t>
      </w:r>
      <w:r>
        <w:rPr>
          <w:rFonts w:hint="eastAsia" w:asciiTheme="majorEastAsia" w:hAnsiTheme="majorEastAsia" w:eastAsiaTheme="majorEastAsia"/>
          <w:sz w:val="28"/>
        </w:rPr>
        <w:t>检测机构</w:t>
      </w:r>
      <w:r>
        <w:rPr>
          <w:rFonts w:asciiTheme="majorEastAsia" w:hAnsiTheme="majorEastAsia" w:eastAsiaTheme="majorEastAsia"/>
          <w:sz w:val="28"/>
        </w:rPr>
        <w:t>综合</w:t>
      </w:r>
      <w:r>
        <w:rPr>
          <w:rFonts w:hint="eastAsia" w:asciiTheme="majorEastAsia" w:hAnsiTheme="majorEastAsia" w:eastAsiaTheme="majorEastAsia"/>
          <w:sz w:val="28"/>
        </w:rPr>
        <w:t>评价</w:t>
      </w:r>
      <w:r>
        <w:rPr>
          <w:rFonts w:asciiTheme="majorEastAsia" w:hAnsiTheme="majorEastAsia" w:eastAsiaTheme="majorEastAsia"/>
          <w:sz w:val="28"/>
        </w:rPr>
        <w:t>等级从高到低分为A、B、C</w:t>
      </w:r>
      <w:r>
        <w:rPr>
          <w:rFonts w:hint="eastAsia" w:asciiTheme="majorEastAsia" w:hAnsiTheme="majorEastAsia" w:eastAsiaTheme="majorEastAsia"/>
          <w:sz w:val="28"/>
        </w:rPr>
        <w:t>、D四个等</w:t>
      </w:r>
      <w:r>
        <w:rPr>
          <w:rFonts w:asciiTheme="majorEastAsia" w:hAnsiTheme="majorEastAsia" w:eastAsiaTheme="majorEastAsia"/>
          <w:sz w:val="28"/>
        </w:rPr>
        <w:t>级。</w:t>
      </w:r>
    </w:p>
    <w:p>
      <w:pPr>
        <w:shd w:val="clear" w:color="auto" w:fill="FFFFFF"/>
        <w:spacing w:line="600" w:lineRule="exact"/>
        <w:ind w:firstLine="639"/>
        <w:rPr>
          <w:rFonts w:ascii="Times New Roman" w:hAnsi="Times New Roman"/>
          <w:sz w:val="28"/>
          <w:szCs w:val="28"/>
        </w:rPr>
      </w:pPr>
      <w:r>
        <w:rPr>
          <w:rFonts w:asciiTheme="majorEastAsia" w:hAnsiTheme="majorEastAsia" w:eastAsiaTheme="majorEastAsia"/>
          <w:b/>
          <w:bCs/>
          <w:sz w:val="30"/>
          <w:szCs w:val="30"/>
        </w:rPr>
        <w:t>第</w:t>
      </w:r>
      <w:r>
        <w:rPr>
          <w:rFonts w:hint="eastAsia" w:asciiTheme="majorEastAsia" w:hAnsiTheme="majorEastAsia" w:eastAsiaTheme="majorEastAsia"/>
          <w:b/>
          <w:bCs/>
          <w:sz w:val="30"/>
          <w:szCs w:val="30"/>
        </w:rPr>
        <w:t>十</w:t>
      </w:r>
      <w:r>
        <w:rPr>
          <w:rFonts w:asciiTheme="majorEastAsia" w:hAnsiTheme="majorEastAsia" w:eastAsiaTheme="majorEastAsia"/>
          <w:b/>
          <w:bCs/>
          <w:sz w:val="30"/>
          <w:szCs w:val="30"/>
        </w:rPr>
        <w:t>条</w:t>
      </w:r>
      <w:r>
        <w:rPr>
          <w:rFonts w:hint="eastAsia" w:asciiTheme="majorEastAsia" w:hAnsiTheme="majorEastAsia" w:eastAsiaTheme="majorEastAsia"/>
          <w:b/>
          <w:bCs/>
          <w:sz w:val="30"/>
          <w:szCs w:val="30"/>
        </w:rPr>
        <w:t xml:space="preserve"> </w:t>
      </w:r>
      <w:r>
        <w:rPr>
          <w:rFonts w:hint="eastAsia" w:ascii="Times New Roman" w:hAnsi="Times New Roman"/>
          <w:sz w:val="28"/>
          <w:szCs w:val="28"/>
        </w:rPr>
        <w:t>综合评价流程及综合评价等级确定</w:t>
      </w:r>
    </w:p>
    <w:p>
      <w:pPr>
        <w:shd w:val="clear" w:color="auto" w:fill="FFFFFF"/>
        <w:spacing w:line="600" w:lineRule="exact"/>
        <w:ind w:firstLine="639"/>
        <w:rPr>
          <w:rFonts w:ascii="宋体" w:hAnsi="宋体" w:eastAsia="宋体" w:cs="Times New Roman"/>
          <w:b/>
          <w:sz w:val="28"/>
          <w:szCs w:val="28"/>
        </w:rPr>
      </w:pPr>
      <w:r>
        <w:rPr>
          <w:rFonts w:hint="eastAsia" w:ascii="宋体" w:hAnsi="宋体" w:eastAsia="宋体" w:cs="Times New Roman"/>
          <w:b/>
          <w:sz w:val="28"/>
          <w:szCs w:val="28"/>
        </w:rPr>
        <w:t xml:space="preserve">(一) </w:t>
      </w:r>
      <w:r>
        <w:rPr>
          <w:rFonts w:hint="eastAsia" w:ascii="Times New Roman" w:hAnsi="Times New Roman"/>
          <w:sz w:val="28"/>
          <w:szCs w:val="28"/>
        </w:rPr>
        <w:t>市级主管部门向社会发布综合评价工作开展通知，明确评价时间和有关要求等。</w:t>
      </w:r>
    </w:p>
    <w:p>
      <w:pPr>
        <w:shd w:val="clear" w:color="auto" w:fill="FFFFFF"/>
        <w:spacing w:line="600" w:lineRule="exact"/>
        <w:rPr>
          <w:rFonts w:ascii="宋体" w:hAnsi="宋体" w:eastAsia="宋体" w:cs="Times New Roman"/>
          <w:b/>
          <w:sz w:val="28"/>
          <w:szCs w:val="28"/>
        </w:rPr>
      </w:pPr>
      <w:r>
        <w:rPr>
          <w:rFonts w:hint="eastAsia" w:ascii="宋体" w:hAnsi="宋体" w:eastAsia="宋体" w:cs="Times New Roman"/>
          <w:sz w:val="28"/>
          <w:szCs w:val="28"/>
        </w:rPr>
        <w:t xml:space="preserve">   </w:t>
      </w:r>
      <w:r>
        <w:rPr>
          <w:rFonts w:hint="eastAsia" w:ascii="宋体" w:hAnsi="宋体" w:eastAsia="宋体" w:cs="Times New Roman"/>
          <w:b/>
          <w:sz w:val="28"/>
          <w:szCs w:val="28"/>
        </w:rPr>
        <w:t>（二）</w:t>
      </w:r>
      <w:r>
        <w:rPr>
          <w:rFonts w:hint="eastAsia" w:ascii="Times New Roman" w:hAnsi="Times New Roman"/>
          <w:sz w:val="28"/>
          <w:szCs w:val="28"/>
        </w:rPr>
        <w:t>检测机构应按照通知要求在规定时间内提交自评表及相关佐证材料。</w:t>
      </w:r>
    </w:p>
    <w:p>
      <w:pPr>
        <w:shd w:val="clear" w:color="auto" w:fill="FFFFFF"/>
        <w:spacing w:line="600" w:lineRule="exact"/>
        <w:rPr>
          <w:rFonts w:ascii="宋体" w:hAnsi="宋体" w:eastAsia="宋体" w:cs="Times New Roman"/>
          <w:sz w:val="28"/>
          <w:szCs w:val="28"/>
        </w:rPr>
      </w:pPr>
      <w:r>
        <w:rPr>
          <w:rFonts w:hint="eastAsia" w:ascii="宋体" w:hAnsi="宋体" w:eastAsia="宋体" w:cs="Times New Roman"/>
          <w:b/>
          <w:sz w:val="28"/>
          <w:szCs w:val="28"/>
        </w:rPr>
        <w:t xml:space="preserve">   </w:t>
      </w:r>
      <w:r>
        <w:rPr>
          <w:rFonts w:hint="eastAsia" w:ascii="宋体" w:hAnsi="宋体" w:eastAsia="宋体" w:cs="Times New Roman"/>
          <w:sz w:val="28"/>
          <w:szCs w:val="28"/>
        </w:rPr>
        <w:t>（三）市质监站</w:t>
      </w:r>
      <w:r>
        <w:rPr>
          <w:rFonts w:hint="eastAsia" w:ascii="Times New Roman" w:hAnsi="Times New Roman"/>
          <w:sz w:val="28"/>
          <w:szCs w:val="28"/>
        </w:rPr>
        <w:t>根据评价标准对受评检测机构提交的材料进行综合分析和现场抽查，核实受评检测机构的自评材料。</w:t>
      </w:r>
    </w:p>
    <w:p>
      <w:pPr>
        <w:shd w:val="clear" w:color="auto" w:fill="FFFFFF"/>
        <w:spacing w:line="600" w:lineRule="exact"/>
        <w:rPr>
          <w:rFonts w:ascii="宋体" w:hAnsi="宋体" w:eastAsia="宋体" w:cs="Times New Roman"/>
          <w:sz w:val="28"/>
          <w:szCs w:val="28"/>
        </w:rPr>
      </w:pPr>
      <w:r>
        <w:rPr>
          <w:rFonts w:hint="eastAsia" w:ascii="宋体" w:hAnsi="宋体" w:eastAsia="宋体" w:cs="Times New Roman"/>
          <w:sz w:val="28"/>
          <w:szCs w:val="28"/>
        </w:rPr>
        <w:t xml:space="preserve">   （四）市质监站</w:t>
      </w:r>
      <w:r>
        <w:rPr>
          <w:rFonts w:hint="eastAsia" w:ascii="Times New Roman" w:hAnsi="Times New Roman"/>
          <w:sz w:val="28"/>
          <w:szCs w:val="28"/>
        </w:rPr>
        <w:t>汇总抽查、核实结果，初定检测机构的综合评价等级，并提交市住建局进行审定，确定检测机构的综合评价等级。</w:t>
      </w:r>
    </w:p>
    <w:p>
      <w:pPr>
        <w:shd w:val="clear" w:color="auto" w:fill="FFFFFF"/>
        <w:spacing w:line="600" w:lineRule="exact"/>
        <w:rPr>
          <w:rFonts w:ascii="宋体" w:hAnsi="宋体" w:eastAsia="宋体" w:cs="Times New Roman"/>
          <w:sz w:val="30"/>
          <w:szCs w:val="30"/>
        </w:rPr>
      </w:pPr>
      <w:r>
        <w:rPr>
          <w:rFonts w:hint="eastAsia" w:ascii="宋体" w:hAnsi="宋体" w:eastAsia="宋体" w:cs="Times New Roman"/>
          <w:sz w:val="30"/>
          <w:szCs w:val="30"/>
        </w:rPr>
        <w:t xml:space="preserve">    </w:t>
      </w:r>
      <w:r>
        <w:rPr>
          <w:rFonts w:hint="eastAsia" w:asciiTheme="majorEastAsia" w:hAnsiTheme="majorEastAsia" w:eastAsiaTheme="majorEastAsia"/>
          <w:b/>
          <w:bCs/>
          <w:sz w:val="30"/>
          <w:szCs w:val="30"/>
        </w:rPr>
        <w:t>第十一条</w:t>
      </w:r>
      <w:r>
        <w:rPr>
          <w:rFonts w:hint="eastAsia" w:ascii="宋体" w:hAnsi="宋体" w:eastAsia="宋体" w:cs="Times New Roman"/>
          <w:b/>
          <w:sz w:val="30"/>
          <w:szCs w:val="30"/>
        </w:rPr>
        <w:t xml:space="preserve"> </w:t>
      </w:r>
      <w:r>
        <w:rPr>
          <w:rFonts w:hint="eastAsia" w:cs="Times New Roman" w:asciiTheme="minorEastAsia" w:hAnsiTheme="minorEastAsia"/>
          <w:sz w:val="28"/>
          <w:szCs w:val="28"/>
        </w:rPr>
        <w:t>检测机构综合评价结果在市住建局官网上公示，公示期</w:t>
      </w:r>
      <w:r>
        <w:rPr>
          <w:rFonts w:cs="Times New Roman" w:asciiTheme="minorEastAsia" w:hAnsiTheme="minorEastAsia"/>
          <w:sz w:val="28"/>
          <w:szCs w:val="28"/>
        </w:rPr>
        <w:t>为</w:t>
      </w:r>
      <w:r>
        <w:rPr>
          <w:rFonts w:hint="eastAsia" w:cs="Times New Roman" w:asciiTheme="minorEastAsia" w:hAnsiTheme="minorEastAsia"/>
          <w:sz w:val="28"/>
          <w:szCs w:val="28"/>
        </w:rPr>
        <w:t>7</w:t>
      </w:r>
      <w:r>
        <w:rPr>
          <w:rFonts w:cs="Times New Roman" w:asciiTheme="minorEastAsia" w:hAnsiTheme="minorEastAsia"/>
          <w:sz w:val="28"/>
          <w:szCs w:val="28"/>
        </w:rPr>
        <w:t>个工作日。</w:t>
      </w:r>
      <w:r>
        <w:rPr>
          <w:rFonts w:hint="eastAsia" w:asciiTheme="minorEastAsia" w:hAnsiTheme="minorEastAsia"/>
          <w:sz w:val="28"/>
          <w:szCs w:val="28"/>
        </w:rPr>
        <w:t>检测机构对评价结果存在异议，可在公示期内向市级主管部门书面提出，并提供相关书面证明材料，市级主管部门收到书面异议后，对提出的问题进行调查核实，决定是否组织复评，复评结果为最终结果。如不能提供充分证据的，市级主管部门不予接受检测机构的复评申请。</w:t>
      </w:r>
      <w:r>
        <w:rPr>
          <w:rFonts w:cs="Times New Roman" w:asciiTheme="minorEastAsia" w:hAnsiTheme="minorEastAsia"/>
          <w:sz w:val="28"/>
          <w:szCs w:val="28"/>
        </w:rPr>
        <w:t>公示期内，任何组织或个人均可书面方式提出异议。异议人应当提供真实身份、有效的联系方式、具体事实理由和相关证据资料。</w:t>
      </w:r>
    </w:p>
    <w:p>
      <w:pPr>
        <w:shd w:val="clear" w:color="auto" w:fill="FFFFFF"/>
        <w:spacing w:line="600" w:lineRule="exact"/>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第三章 结果公布及运用</w:t>
      </w:r>
    </w:p>
    <w:p>
      <w:pPr>
        <w:shd w:val="clear" w:color="auto" w:fill="FFFFFF"/>
        <w:spacing w:line="600" w:lineRule="exact"/>
        <w:ind w:firstLine="639"/>
        <w:rPr>
          <w:rFonts w:ascii="宋体" w:hAnsi="宋体" w:eastAsia="宋体" w:cs="Times New Roman"/>
          <w:sz w:val="28"/>
          <w:szCs w:val="28"/>
        </w:rPr>
      </w:pPr>
      <w:r>
        <w:rPr>
          <w:rFonts w:hint="eastAsia" w:asciiTheme="majorEastAsia" w:hAnsiTheme="majorEastAsia" w:eastAsiaTheme="majorEastAsia"/>
          <w:b/>
          <w:bCs/>
          <w:sz w:val="30"/>
          <w:szCs w:val="30"/>
        </w:rPr>
        <w:t>第十二条</w:t>
      </w:r>
      <w:r>
        <w:rPr>
          <w:rFonts w:hint="eastAsia" w:ascii="宋体" w:hAnsi="宋体" w:eastAsia="宋体" w:cs="Times New Roman"/>
          <w:b/>
          <w:sz w:val="30"/>
          <w:szCs w:val="30"/>
        </w:rPr>
        <w:t xml:space="preserve"> </w:t>
      </w:r>
      <w:r>
        <w:rPr>
          <w:rFonts w:hint="eastAsia" w:ascii="Times New Roman" w:hAnsi="Times New Roman"/>
          <w:sz w:val="28"/>
          <w:szCs w:val="28"/>
        </w:rPr>
        <w:t>检测机构综合</w:t>
      </w:r>
      <w:r>
        <w:rPr>
          <w:rFonts w:ascii="Times New Roman" w:hAnsi="Times New Roman"/>
          <w:sz w:val="28"/>
          <w:szCs w:val="28"/>
        </w:rPr>
        <w:t>评价结果</w:t>
      </w:r>
      <w:r>
        <w:rPr>
          <w:rFonts w:hint="eastAsia" w:ascii="宋体" w:hAnsi="宋体" w:eastAsia="宋体" w:cs="Times New Roman"/>
          <w:sz w:val="28"/>
          <w:szCs w:val="28"/>
        </w:rPr>
        <w:t>在市住建局官网上</w:t>
      </w:r>
      <w:r>
        <w:rPr>
          <w:rFonts w:hint="eastAsia" w:ascii="Times New Roman" w:hAnsi="Times New Roman"/>
          <w:sz w:val="28"/>
          <w:szCs w:val="28"/>
        </w:rPr>
        <w:t>公开发</w:t>
      </w:r>
      <w:r>
        <w:rPr>
          <w:rFonts w:ascii="Times New Roman" w:hAnsi="Times New Roman"/>
          <w:sz w:val="28"/>
          <w:szCs w:val="28"/>
        </w:rPr>
        <w:t>布。</w:t>
      </w:r>
    </w:p>
    <w:p>
      <w:pPr>
        <w:shd w:val="clear" w:color="auto" w:fill="FFFFFF"/>
        <w:spacing w:line="600" w:lineRule="exact"/>
        <w:ind w:firstLine="639"/>
        <w:rPr>
          <w:rFonts w:ascii="Times New Roman" w:hAnsi="Times New Roman"/>
          <w:sz w:val="28"/>
        </w:rPr>
      </w:pPr>
      <w:r>
        <w:rPr>
          <w:rFonts w:hint="eastAsia" w:asciiTheme="majorEastAsia" w:hAnsiTheme="majorEastAsia" w:eastAsiaTheme="majorEastAsia"/>
          <w:b/>
          <w:bCs/>
          <w:sz w:val="30"/>
          <w:szCs w:val="30"/>
        </w:rPr>
        <w:t>第十三条</w:t>
      </w:r>
      <w:r>
        <w:rPr>
          <w:rFonts w:hint="eastAsia" w:ascii="宋体" w:hAnsi="宋体" w:eastAsia="宋体" w:cs="Times New Roman"/>
          <w:b/>
          <w:sz w:val="30"/>
          <w:szCs w:val="30"/>
        </w:rPr>
        <w:t xml:space="preserve"> </w:t>
      </w:r>
      <w:r>
        <w:rPr>
          <w:rFonts w:hint="eastAsia" w:ascii="Times New Roman" w:hAnsi="Times New Roman"/>
          <w:sz w:val="28"/>
        </w:rPr>
        <w:t>市级主管部门在综合评价等级有效期内对检测机构进行不定期抽查，对相关信息及时核实更新，如因某些因素致其综合评价等级发生变化，将根据核实结果进行复评并重新确定其综合评价等级。</w:t>
      </w:r>
    </w:p>
    <w:p>
      <w:pPr>
        <w:shd w:val="clear" w:color="auto" w:fill="FFFFFF"/>
        <w:spacing w:line="600" w:lineRule="exact"/>
        <w:ind w:firstLine="639"/>
        <w:rPr>
          <w:rFonts w:ascii="Times New Roman" w:hAnsi="Times New Roman"/>
          <w:sz w:val="28"/>
        </w:rPr>
      </w:pPr>
      <w:r>
        <w:rPr>
          <w:rFonts w:hint="eastAsia" w:asciiTheme="majorEastAsia" w:hAnsiTheme="majorEastAsia" w:eastAsiaTheme="majorEastAsia"/>
          <w:b/>
          <w:bCs/>
          <w:sz w:val="30"/>
          <w:szCs w:val="30"/>
        </w:rPr>
        <w:t>第十四条</w:t>
      </w:r>
      <w:r>
        <w:rPr>
          <w:rFonts w:hint="eastAsia" w:ascii="宋体" w:hAnsi="宋体" w:eastAsia="宋体" w:cs="Times New Roman"/>
          <w:b/>
          <w:sz w:val="30"/>
          <w:szCs w:val="30"/>
        </w:rPr>
        <w:t xml:space="preserve"> </w:t>
      </w:r>
      <w:r>
        <w:rPr>
          <w:rFonts w:hint="eastAsia" w:ascii="Times New Roman" w:hAnsi="Times New Roman"/>
          <w:sz w:val="28"/>
        </w:rPr>
        <w:t>综合评价等级有效期内，检测机构</w:t>
      </w:r>
      <w:r>
        <w:rPr>
          <w:rFonts w:ascii="Times New Roman" w:hAnsi="Times New Roman"/>
          <w:sz w:val="28"/>
        </w:rPr>
        <w:t>发生重大不良行为的，</w:t>
      </w:r>
      <w:r>
        <w:rPr>
          <w:rFonts w:hint="eastAsia" w:ascii="Times New Roman" w:hAnsi="Times New Roman"/>
          <w:sz w:val="28"/>
        </w:rPr>
        <w:t>市级主管部门将</w:t>
      </w:r>
      <w:r>
        <w:rPr>
          <w:rFonts w:ascii="Times New Roman" w:hAnsi="Times New Roman"/>
          <w:sz w:val="28"/>
        </w:rPr>
        <w:t>取消其综合</w:t>
      </w:r>
      <w:r>
        <w:rPr>
          <w:rFonts w:hint="eastAsia" w:ascii="Times New Roman" w:hAnsi="Times New Roman"/>
          <w:sz w:val="28"/>
        </w:rPr>
        <w:t>评价</w:t>
      </w:r>
      <w:r>
        <w:rPr>
          <w:rFonts w:ascii="Times New Roman" w:hAnsi="Times New Roman"/>
          <w:sz w:val="28"/>
        </w:rPr>
        <w:t>等级，并</w:t>
      </w:r>
      <w:r>
        <w:rPr>
          <w:rFonts w:hint="eastAsia" w:ascii="Times New Roman" w:hAnsi="Times New Roman"/>
          <w:sz w:val="28"/>
        </w:rPr>
        <w:t>向社会</w:t>
      </w:r>
      <w:r>
        <w:rPr>
          <w:rFonts w:ascii="Times New Roman" w:hAnsi="Times New Roman"/>
          <w:sz w:val="28"/>
        </w:rPr>
        <w:t>公布</w:t>
      </w:r>
      <w:r>
        <w:rPr>
          <w:rFonts w:hint="eastAsia" w:ascii="Times New Roman" w:hAnsi="Times New Roman"/>
          <w:sz w:val="28"/>
        </w:rPr>
        <w:t>。</w:t>
      </w:r>
    </w:p>
    <w:p>
      <w:pPr>
        <w:shd w:val="clear" w:color="auto" w:fill="FFFFFF"/>
        <w:spacing w:line="600" w:lineRule="exact"/>
        <w:ind w:firstLine="639"/>
        <w:rPr>
          <w:rFonts w:ascii="宋体" w:hAnsi="宋体" w:eastAsia="宋体" w:cs="Times New Roman"/>
          <w:sz w:val="30"/>
          <w:szCs w:val="30"/>
        </w:rPr>
      </w:pPr>
      <w:r>
        <w:rPr>
          <w:rFonts w:asciiTheme="majorEastAsia" w:hAnsiTheme="majorEastAsia" w:eastAsiaTheme="majorEastAsia"/>
          <w:b/>
          <w:bCs/>
          <w:sz w:val="30"/>
          <w:szCs w:val="30"/>
        </w:rPr>
        <w:t>第</w:t>
      </w:r>
      <w:r>
        <w:rPr>
          <w:rFonts w:hint="eastAsia" w:asciiTheme="majorEastAsia" w:hAnsiTheme="majorEastAsia" w:eastAsiaTheme="majorEastAsia"/>
          <w:b/>
          <w:bCs/>
          <w:sz w:val="30"/>
          <w:szCs w:val="30"/>
        </w:rPr>
        <w:t>十五</w:t>
      </w:r>
      <w:r>
        <w:rPr>
          <w:rFonts w:asciiTheme="majorEastAsia" w:hAnsiTheme="majorEastAsia" w:eastAsiaTheme="majorEastAsia"/>
          <w:b/>
          <w:bCs/>
          <w:sz w:val="30"/>
          <w:szCs w:val="30"/>
        </w:rPr>
        <w:t>条</w:t>
      </w:r>
      <w:r>
        <w:rPr>
          <w:rFonts w:hint="eastAsia" w:ascii="宋体" w:hAnsi="宋体" w:eastAsia="宋体" w:cs="Times New Roman"/>
          <w:sz w:val="30"/>
          <w:szCs w:val="30"/>
        </w:rPr>
        <w:t xml:space="preserve"> </w:t>
      </w:r>
      <w:r>
        <w:rPr>
          <w:rFonts w:hint="eastAsia" w:cs="Times New Roman" w:asciiTheme="minorEastAsia" w:hAnsiTheme="minorEastAsia"/>
          <w:sz w:val="28"/>
          <w:szCs w:val="28"/>
        </w:rPr>
        <w:t>在本市行政区域内，使用国有资金投资（控股）或占主导地位的建设工程项目实行招标发包的，招标人应将检测机构综合评价结果运用到招投标环节；其他类型建设工程项目招标发包可以参照执行。</w:t>
      </w:r>
    </w:p>
    <w:p>
      <w:pPr>
        <w:shd w:val="clear" w:color="auto" w:fill="FFFFFF"/>
        <w:spacing w:line="600" w:lineRule="exact"/>
        <w:ind w:firstLine="639"/>
        <w:rPr>
          <w:rFonts w:ascii="宋体" w:hAnsi="宋体" w:eastAsia="宋体" w:cs="Times New Roman"/>
          <w:sz w:val="30"/>
          <w:szCs w:val="30"/>
        </w:rPr>
      </w:pPr>
      <w:r>
        <w:rPr>
          <w:rFonts w:asciiTheme="majorEastAsia" w:hAnsiTheme="majorEastAsia" w:eastAsiaTheme="majorEastAsia"/>
          <w:b/>
          <w:bCs/>
          <w:sz w:val="30"/>
          <w:szCs w:val="30"/>
        </w:rPr>
        <w:t>第</w:t>
      </w:r>
      <w:r>
        <w:rPr>
          <w:rFonts w:hint="eastAsia" w:asciiTheme="majorEastAsia" w:hAnsiTheme="majorEastAsia" w:eastAsiaTheme="majorEastAsia"/>
          <w:b/>
          <w:bCs/>
          <w:sz w:val="30"/>
          <w:szCs w:val="30"/>
        </w:rPr>
        <w:t>十六</w:t>
      </w:r>
      <w:r>
        <w:rPr>
          <w:rFonts w:asciiTheme="majorEastAsia" w:hAnsiTheme="majorEastAsia" w:eastAsiaTheme="majorEastAsia"/>
          <w:b/>
          <w:bCs/>
          <w:sz w:val="30"/>
          <w:szCs w:val="30"/>
        </w:rPr>
        <w:t>条</w:t>
      </w:r>
      <w:r>
        <w:rPr>
          <w:rFonts w:hint="eastAsia" w:ascii="宋体" w:hAnsi="宋体" w:eastAsia="宋体" w:cs="Times New Roman"/>
          <w:sz w:val="30"/>
          <w:szCs w:val="30"/>
        </w:rPr>
        <w:t xml:space="preserve"> </w:t>
      </w:r>
      <w:r>
        <w:rPr>
          <w:rFonts w:hint="eastAsia" w:ascii="Times New Roman" w:hAnsi="Times New Roman"/>
          <w:sz w:val="28"/>
        </w:rPr>
        <w:t>检测机构综合评价结果，将作为监管部门分类管理的依据。</w:t>
      </w:r>
    </w:p>
    <w:p>
      <w:pPr>
        <w:shd w:val="clear" w:color="auto" w:fill="FFFFFF"/>
        <w:spacing w:line="600" w:lineRule="exact"/>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第四章 附则</w:t>
      </w:r>
    </w:p>
    <w:p>
      <w:pPr>
        <w:shd w:val="clear" w:color="auto" w:fill="FFFFFF"/>
        <w:spacing w:line="600" w:lineRule="exact"/>
        <w:ind w:firstLine="639"/>
        <w:rPr>
          <w:rFonts w:ascii="宋体" w:hAnsi="宋体" w:eastAsia="宋体" w:cs="Times New Roman"/>
          <w:sz w:val="30"/>
          <w:szCs w:val="30"/>
        </w:rPr>
      </w:pPr>
      <w:r>
        <w:rPr>
          <w:rFonts w:hint="eastAsia" w:asciiTheme="majorEastAsia" w:hAnsiTheme="majorEastAsia" w:eastAsiaTheme="majorEastAsia"/>
          <w:b/>
          <w:bCs/>
          <w:sz w:val="30"/>
          <w:szCs w:val="30"/>
        </w:rPr>
        <w:t>第十七条</w:t>
      </w:r>
      <w:r>
        <w:rPr>
          <w:rFonts w:hint="eastAsia" w:ascii="Times New Roman" w:eastAsia="仿宋_GB2312"/>
          <w:b/>
          <w:bCs/>
          <w:sz w:val="32"/>
          <w:szCs w:val="32"/>
        </w:rPr>
        <w:t xml:space="preserve"> </w:t>
      </w:r>
      <w:r>
        <w:rPr>
          <w:rFonts w:cs="Times New Roman" w:asciiTheme="minorEastAsia" w:hAnsiTheme="minorEastAsia"/>
          <w:sz w:val="28"/>
          <w:szCs w:val="28"/>
        </w:rPr>
        <w:t>本办法由</w:t>
      </w:r>
      <w:r>
        <w:rPr>
          <w:rFonts w:hint="eastAsia" w:cs="Times New Roman" w:asciiTheme="minorEastAsia" w:hAnsiTheme="minorEastAsia"/>
          <w:sz w:val="28"/>
          <w:szCs w:val="28"/>
        </w:rPr>
        <w:t>泰州市</w:t>
      </w:r>
      <w:r>
        <w:rPr>
          <w:rFonts w:cs="Times New Roman" w:asciiTheme="minorEastAsia" w:hAnsiTheme="minorEastAsia"/>
          <w:sz w:val="28"/>
          <w:szCs w:val="28"/>
        </w:rPr>
        <w:t>住房和城乡建设</w:t>
      </w:r>
      <w:r>
        <w:rPr>
          <w:rFonts w:hint="eastAsia" w:cs="Times New Roman" w:asciiTheme="minorEastAsia" w:hAnsiTheme="minorEastAsia"/>
          <w:sz w:val="28"/>
          <w:szCs w:val="28"/>
        </w:rPr>
        <w:t>局</w:t>
      </w:r>
      <w:r>
        <w:rPr>
          <w:rFonts w:cs="Times New Roman" w:asciiTheme="minorEastAsia" w:hAnsiTheme="minorEastAsia"/>
          <w:sz w:val="28"/>
          <w:szCs w:val="28"/>
        </w:rPr>
        <w:t>负责解释。</w:t>
      </w:r>
    </w:p>
    <w:p>
      <w:pPr>
        <w:shd w:val="clear" w:color="auto" w:fill="FFFFFF"/>
        <w:spacing w:line="600" w:lineRule="exact"/>
        <w:ind w:firstLine="639"/>
        <w:rPr>
          <w:rFonts w:ascii="宋体" w:hAnsi="宋体" w:eastAsia="宋体" w:cs="Times New Roman"/>
          <w:sz w:val="30"/>
          <w:szCs w:val="30"/>
        </w:rPr>
      </w:pPr>
      <w:r>
        <w:rPr>
          <w:rFonts w:asciiTheme="majorEastAsia" w:hAnsiTheme="majorEastAsia" w:eastAsiaTheme="majorEastAsia"/>
          <w:b/>
          <w:bCs/>
          <w:sz w:val="30"/>
          <w:szCs w:val="30"/>
        </w:rPr>
        <w:t>第十</w:t>
      </w:r>
      <w:r>
        <w:rPr>
          <w:rFonts w:hint="eastAsia" w:asciiTheme="majorEastAsia" w:hAnsiTheme="majorEastAsia" w:eastAsiaTheme="majorEastAsia"/>
          <w:b/>
          <w:bCs/>
          <w:sz w:val="30"/>
          <w:szCs w:val="30"/>
        </w:rPr>
        <w:t>八</w:t>
      </w:r>
      <w:r>
        <w:rPr>
          <w:rFonts w:asciiTheme="majorEastAsia" w:hAnsiTheme="majorEastAsia" w:eastAsiaTheme="majorEastAsia"/>
          <w:b/>
          <w:bCs/>
          <w:sz w:val="30"/>
          <w:szCs w:val="30"/>
        </w:rPr>
        <w:t>条</w:t>
      </w:r>
      <w:r>
        <w:rPr>
          <w:rFonts w:ascii="Times New Roman" w:eastAsia="仿宋_GB2312"/>
          <w:sz w:val="32"/>
          <w:szCs w:val="32"/>
        </w:rPr>
        <w:t xml:space="preserve"> </w:t>
      </w:r>
      <w:r>
        <w:rPr>
          <w:rFonts w:cs="Times New Roman" w:asciiTheme="minorEastAsia" w:hAnsiTheme="minorEastAsia"/>
          <w:sz w:val="28"/>
          <w:szCs w:val="28"/>
        </w:rPr>
        <w:t>本办法自</w:t>
      </w:r>
      <w:r>
        <w:rPr>
          <w:rFonts w:hint="eastAsia" w:cs="Times New Roman" w:asciiTheme="minorEastAsia" w:hAnsiTheme="minorEastAsia"/>
          <w:sz w:val="28"/>
          <w:szCs w:val="28"/>
        </w:rPr>
        <w:t>2021</w:t>
      </w:r>
      <w:r>
        <w:rPr>
          <w:rFonts w:cs="Times New Roman" w:asciiTheme="minorEastAsia" w:hAnsiTheme="minorEastAsia"/>
          <w:sz w:val="28"/>
          <w:szCs w:val="28"/>
        </w:rPr>
        <w:t>年</w:t>
      </w:r>
      <w:r>
        <w:rPr>
          <w:rFonts w:hint="eastAsia" w:asciiTheme="majorEastAsia" w:hAnsiTheme="majorEastAsia" w:eastAsiaTheme="majorEastAsia"/>
          <w:bCs/>
          <w:sz w:val="30"/>
          <w:szCs w:val="30"/>
        </w:rPr>
        <w:t>6</w:t>
      </w:r>
      <w:r>
        <w:rPr>
          <w:rFonts w:cs="Times New Roman" w:asciiTheme="minorEastAsia" w:hAnsiTheme="minorEastAsia"/>
          <w:sz w:val="28"/>
          <w:szCs w:val="28"/>
        </w:rPr>
        <w:t>月</w:t>
      </w:r>
      <w:r>
        <w:rPr>
          <w:rFonts w:hint="eastAsia" w:cs="Times New Roman" w:asciiTheme="minorEastAsia" w:hAnsiTheme="minorEastAsia"/>
          <w:sz w:val="28"/>
          <w:szCs w:val="28"/>
        </w:rPr>
        <w:t>1</w:t>
      </w:r>
      <w:r>
        <w:rPr>
          <w:rFonts w:cs="Times New Roman" w:asciiTheme="minorEastAsia" w:hAnsiTheme="minorEastAsia"/>
          <w:sz w:val="28"/>
          <w:szCs w:val="28"/>
        </w:rPr>
        <w:t>日起施行。</w:t>
      </w:r>
    </w:p>
    <w:p>
      <w:pPr>
        <w:shd w:val="clear" w:color="auto" w:fill="FFFFFF"/>
        <w:spacing w:line="600" w:lineRule="exact"/>
        <w:ind w:firstLine="600" w:firstLineChars="200"/>
        <w:rPr>
          <w:rFonts w:ascii="宋体" w:hAnsi="宋体" w:eastAsia="宋体" w:cs="Times New Roman"/>
          <w:sz w:val="30"/>
          <w:szCs w:val="30"/>
        </w:rPr>
      </w:pPr>
    </w:p>
    <w:p>
      <w:pPr>
        <w:shd w:val="clear" w:color="auto" w:fill="FFFFFF"/>
        <w:spacing w:line="600" w:lineRule="exact"/>
        <w:ind w:firstLine="640" w:firstLineChars="200"/>
        <w:rPr>
          <w:rFonts w:cs="Times New Roman" w:asciiTheme="minorEastAsia" w:hAnsiTheme="minorEastAsia"/>
          <w:sz w:val="28"/>
          <w:szCs w:val="28"/>
        </w:rPr>
      </w:pPr>
      <w:r>
        <w:rPr>
          <w:rFonts w:ascii="Times New Roman" w:eastAsia="仿宋_GB2312"/>
          <w:bCs/>
          <w:sz w:val="32"/>
          <w:szCs w:val="32"/>
        </w:rPr>
        <w:t>附件：</w:t>
      </w:r>
      <w:r>
        <w:rPr>
          <w:rFonts w:asciiTheme="minorEastAsia" w:hAnsiTheme="minorEastAsia"/>
          <w:bCs/>
          <w:sz w:val="28"/>
          <w:szCs w:val="28"/>
        </w:rPr>
        <w:t>1．</w:t>
      </w:r>
      <w:r>
        <w:rPr>
          <w:rFonts w:hint="eastAsia" w:cs="Times New Roman" w:asciiTheme="minorEastAsia" w:hAnsiTheme="minorEastAsia"/>
          <w:sz w:val="28"/>
          <w:szCs w:val="28"/>
        </w:rPr>
        <w:t>泰州市检测机构</w:t>
      </w:r>
      <w:r>
        <w:rPr>
          <w:rFonts w:cs="Times New Roman" w:asciiTheme="minorEastAsia" w:hAnsiTheme="minorEastAsia"/>
          <w:sz w:val="28"/>
          <w:szCs w:val="28"/>
        </w:rPr>
        <w:t>综合评价承诺书</w:t>
      </w:r>
    </w:p>
    <w:p>
      <w:pPr>
        <w:shd w:val="clear" w:color="auto" w:fill="FFFFFF"/>
        <w:spacing w:line="600" w:lineRule="exact"/>
        <w:ind w:firstLine="560" w:firstLineChars="200"/>
        <w:rPr>
          <w:rFonts w:cs="Times New Roman" w:asciiTheme="minorEastAsia" w:hAnsiTheme="minorEastAsia"/>
          <w:sz w:val="28"/>
          <w:szCs w:val="28"/>
        </w:rPr>
      </w:pPr>
      <w:r>
        <w:rPr>
          <w:rFonts w:asciiTheme="minorEastAsia" w:hAnsiTheme="minorEastAsia"/>
          <w:bCs/>
          <w:sz w:val="28"/>
          <w:szCs w:val="28"/>
        </w:rPr>
        <w:t>　　　</w:t>
      </w:r>
      <w:r>
        <w:rPr>
          <w:rFonts w:hint="eastAsia" w:asciiTheme="minorEastAsia" w:hAnsiTheme="minorEastAsia"/>
          <w:bCs/>
          <w:sz w:val="28"/>
          <w:szCs w:val="28"/>
        </w:rPr>
        <w:t xml:space="preserve">  </w:t>
      </w:r>
      <w:r>
        <w:rPr>
          <w:rFonts w:asciiTheme="minorEastAsia" w:hAnsiTheme="minorEastAsia"/>
          <w:bCs/>
          <w:sz w:val="28"/>
          <w:szCs w:val="28"/>
        </w:rPr>
        <w:t>2．</w:t>
      </w:r>
      <w:r>
        <w:rPr>
          <w:rFonts w:hint="eastAsia" w:cs="Times New Roman" w:asciiTheme="minorEastAsia" w:hAnsiTheme="minorEastAsia"/>
          <w:sz w:val="28"/>
          <w:szCs w:val="28"/>
        </w:rPr>
        <w:t>泰州市</w:t>
      </w:r>
      <w:r>
        <w:rPr>
          <w:rFonts w:cs="Times New Roman" w:asciiTheme="minorEastAsia" w:hAnsiTheme="minorEastAsia"/>
          <w:sz w:val="28"/>
          <w:szCs w:val="28"/>
        </w:rPr>
        <w:t>检测机构</w:t>
      </w:r>
      <w:r>
        <w:rPr>
          <w:rFonts w:hint="eastAsia" w:cs="Times New Roman" w:asciiTheme="minorEastAsia" w:hAnsiTheme="minorEastAsia"/>
          <w:sz w:val="28"/>
          <w:szCs w:val="28"/>
        </w:rPr>
        <w:t>综合评价等级含义和划分标准</w:t>
      </w:r>
    </w:p>
    <w:p>
      <w:pPr>
        <w:shd w:val="clear" w:color="auto" w:fill="FFFFFF"/>
        <w:spacing w:line="600" w:lineRule="exact"/>
        <w:ind w:firstLine="562" w:firstLineChars="200"/>
        <w:rPr>
          <w:rFonts w:asciiTheme="minorEastAsia" w:hAnsiTheme="minorEastAsia"/>
          <w:bCs/>
          <w:sz w:val="28"/>
          <w:szCs w:val="28"/>
        </w:rPr>
      </w:pPr>
      <w:r>
        <w:rPr>
          <w:rFonts w:hint="eastAsia" w:asciiTheme="minorEastAsia" w:hAnsiTheme="minorEastAsia"/>
          <w:b/>
          <w:bCs/>
          <w:sz w:val="28"/>
          <w:szCs w:val="28"/>
        </w:rPr>
        <w:t xml:space="preserve">        </w:t>
      </w:r>
      <w:r>
        <w:rPr>
          <w:rFonts w:hint="eastAsia" w:asciiTheme="minorEastAsia" w:hAnsiTheme="minorEastAsia"/>
          <w:bCs/>
          <w:sz w:val="28"/>
          <w:szCs w:val="28"/>
        </w:rPr>
        <w:t xml:space="preserve">3. </w:t>
      </w:r>
      <w:r>
        <w:rPr>
          <w:rFonts w:hint="eastAsia" w:cs="Times New Roman" w:asciiTheme="minorEastAsia" w:hAnsiTheme="minorEastAsia"/>
          <w:sz w:val="28"/>
          <w:szCs w:val="28"/>
        </w:rPr>
        <w:t>泰州市</w:t>
      </w:r>
      <w:r>
        <w:rPr>
          <w:rFonts w:hint="eastAsia" w:asciiTheme="minorEastAsia" w:hAnsiTheme="minorEastAsia"/>
          <w:kern w:val="0"/>
          <w:sz w:val="28"/>
          <w:szCs w:val="28"/>
        </w:rPr>
        <w:t>检测机构综合</w:t>
      </w:r>
      <w:r>
        <w:rPr>
          <w:rFonts w:asciiTheme="minorEastAsia" w:hAnsiTheme="minorEastAsia"/>
          <w:kern w:val="0"/>
          <w:sz w:val="28"/>
          <w:szCs w:val="28"/>
        </w:rPr>
        <w:t>评价指标及分值</w:t>
      </w:r>
      <w:r>
        <w:rPr>
          <w:rFonts w:hint="eastAsia" w:asciiTheme="minorEastAsia" w:hAnsiTheme="minorEastAsia"/>
          <w:kern w:val="0"/>
          <w:sz w:val="28"/>
          <w:szCs w:val="28"/>
        </w:rPr>
        <w:t>表</w:t>
      </w:r>
    </w:p>
    <w:p>
      <w:pPr>
        <w:shd w:val="clear" w:color="auto" w:fill="FFFFFF"/>
        <w:spacing w:line="600" w:lineRule="exact"/>
        <w:ind w:firstLine="600" w:firstLineChars="200"/>
        <w:rPr>
          <w:rFonts w:ascii="宋体" w:hAnsi="宋体" w:eastAsia="宋体" w:cs="Times New Roman"/>
          <w:b/>
          <w:sz w:val="30"/>
          <w:szCs w:val="30"/>
        </w:rPr>
      </w:pPr>
      <w:r>
        <w:rPr>
          <w:rFonts w:hint="eastAsia" w:ascii="宋体" w:hAnsi="宋体" w:eastAsia="宋体" w:cs="Times New Roman"/>
          <w:sz w:val="30"/>
          <w:szCs w:val="30"/>
        </w:rPr>
        <w:t xml:space="preserve">      </w:t>
      </w:r>
    </w:p>
    <w:p>
      <w:pPr>
        <w:ind w:firstLine="596" w:firstLineChars="198"/>
        <w:rPr>
          <w:rFonts w:ascii="宋体" w:hAnsi="宋体" w:eastAsia="宋体" w:cs="Times New Roman"/>
          <w:b/>
          <w:sz w:val="30"/>
          <w:szCs w:val="30"/>
        </w:rPr>
      </w:pPr>
    </w:p>
    <w:p>
      <w:pPr>
        <w:ind w:firstLine="596" w:firstLineChars="198"/>
        <w:rPr>
          <w:rFonts w:ascii="宋体" w:hAnsi="宋体" w:eastAsia="宋体" w:cs="Times New Roman"/>
          <w:b/>
          <w:sz w:val="30"/>
          <w:szCs w:val="30"/>
        </w:rPr>
      </w:pPr>
    </w:p>
    <w:p>
      <w:pPr>
        <w:ind w:firstLine="596" w:firstLineChars="198"/>
        <w:rPr>
          <w:rFonts w:ascii="宋体" w:hAnsi="宋体" w:eastAsia="宋体" w:cs="Times New Roman"/>
          <w:b/>
          <w:sz w:val="30"/>
          <w:szCs w:val="30"/>
        </w:rPr>
      </w:pPr>
    </w:p>
    <w:p>
      <w:pPr>
        <w:ind w:firstLine="596" w:firstLineChars="198"/>
        <w:rPr>
          <w:rFonts w:ascii="宋体" w:hAnsi="宋体" w:eastAsia="宋体" w:cs="Times New Roman"/>
          <w:b/>
          <w:sz w:val="30"/>
          <w:szCs w:val="30"/>
        </w:rPr>
      </w:pPr>
    </w:p>
    <w:p>
      <w:pPr>
        <w:ind w:firstLine="596" w:firstLineChars="198"/>
        <w:rPr>
          <w:rFonts w:ascii="宋体" w:hAnsi="宋体" w:eastAsia="宋体" w:cs="Times New Roman"/>
          <w:b/>
          <w:sz w:val="30"/>
          <w:szCs w:val="30"/>
        </w:rPr>
      </w:pPr>
    </w:p>
    <w:p>
      <w:pPr>
        <w:ind w:firstLine="596" w:firstLineChars="198"/>
        <w:rPr>
          <w:rFonts w:ascii="宋体" w:hAnsi="宋体" w:eastAsia="宋体" w:cs="Times New Roman"/>
          <w:b/>
          <w:sz w:val="30"/>
          <w:szCs w:val="30"/>
        </w:rPr>
      </w:pPr>
    </w:p>
    <w:p>
      <w:pPr>
        <w:ind w:firstLine="596" w:firstLineChars="198"/>
        <w:rPr>
          <w:rFonts w:ascii="宋体" w:hAnsi="宋体" w:eastAsia="宋体" w:cs="Times New Roman"/>
          <w:b/>
          <w:sz w:val="30"/>
          <w:szCs w:val="30"/>
        </w:rPr>
      </w:pPr>
    </w:p>
    <w:p>
      <w:pPr>
        <w:ind w:firstLine="596" w:firstLineChars="198"/>
        <w:rPr>
          <w:rFonts w:ascii="宋体" w:hAnsi="宋体" w:eastAsia="宋体" w:cs="Times New Roman"/>
          <w:b/>
          <w:sz w:val="30"/>
          <w:szCs w:val="30"/>
        </w:rPr>
      </w:pPr>
    </w:p>
    <w:p>
      <w:pPr>
        <w:ind w:firstLine="596" w:firstLineChars="198"/>
        <w:rPr>
          <w:rFonts w:ascii="宋体" w:hAnsi="宋体" w:eastAsia="宋体" w:cs="Times New Roman"/>
          <w:b/>
          <w:sz w:val="30"/>
          <w:szCs w:val="30"/>
        </w:rPr>
      </w:pPr>
    </w:p>
    <w:p>
      <w:pPr>
        <w:ind w:firstLine="596" w:firstLineChars="198"/>
        <w:rPr>
          <w:rFonts w:ascii="宋体" w:hAnsi="宋体" w:eastAsia="宋体" w:cs="Times New Roman"/>
          <w:b/>
          <w:sz w:val="30"/>
          <w:szCs w:val="30"/>
        </w:rPr>
      </w:pPr>
    </w:p>
    <w:p>
      <w:pPr>
        <w:ind w:firstLine="596" w:firstLineChars="198"/>
        <w:rPr>
          <w:rFonts w:ascii="宋体" w:hAnsi="宋体" w:eastAsia="宋体" w:cs="Times New Roman"/>
          <w:b/>
          <w:sz w:val="30"/>
          <w:szCs w:val="30"/>
        </w:rPr>
      </w:pPr>
    </w:p>
    <w:p>
      <w:pPr>
        <w:ind w:firstLine="596" w:firstLineChars="198"/>
        <w:rPr>
          <w:rFonts w:ascii="宋体" w:hAnsi="宋体" w:eastAsia="宋体" w:cs="Times New Roman"/>
          <w:b/>
          <w:sz w:val="30"/>
          <w:szCs w:val="30"/>
        </w:rPr>
      </w:pPr>
      <w:r>
        <w:rPr>
          <w:rFonts w:hint="eastAsia" w:ascii="宋体" w:hAnsi="宋体" w:eastAsia="宋体" w:cs="Times New Roman"/>
          <w:b/>
          <w:sz w:val="30"/>
          <w:szCs w:val="30"/>
        </w:rPr>
        <w:t>附件1</w:t>
      </w:r>
    </w:p>
    <w:p>
      <w:pPr>
        <w:ind w:firstLine="596" w:firstLineChars="198"/>
        <w:rPr>
          <w:rFonts w:ascii="宋体" w:hAnsi="宋体" w:eastAsia="宋体" w:cs="Times New Roman"/>
          <w:b/>
          <w:sz w:val="30"/>
          <w:szCs w:val="30"/>
        </w:rPr>
      </w:pPr>
    </w:p>
    <w:p>
      <w:pPr>
        <w:shd w:val="clear" w:color="auto" w:fill="FFFFFF"/>
        <w:spacing w:line="600" w:lineRule="exact"/>
        <w:jc w:val="center"/>
        <w:rPr>
          <w:rFonts w:ascii="方正小标宋简体" w:eastAsia="方正小标宋简体"/>
          <w:b/>
          <w:sz w:val="36"/>
          <w:szCs w:val="36"/>
        </w:rPr>
      </w:pPr>
      <w:r>
        <w:rPr>
          <w:rFonts w:hint="eastAsia" w:ascii="方正小标宋简体" w:eastAsia="方正小标宋简体"/>
          <w:b/>
          <w:bCs/>
          <w:sz w:val="44"/>
          <w:szCs w:val="44"/>
        </w:rPr>
        <w:t>泰州市检测机构综合评价承诺书</w:t>
      </w:r>
    </w:p>
    <w:p>
      <w:pPr>
        <w:shd w:val="clear" w:color="auto" w:fill="FFFFFF"/>
        <w:spacing w:line="600" w:lineRule="exact"/>
        <w:ind w:firstLine="640"/>
        <w:rPr>
          <w:rFonts w:ascii="Times New Roman" w:eastAsia="仿宋_GB2312"/>
          <w:sz w:val="32"/>
          <w:szCs w:val="32"/>
        </w:rPr>
      </w:pPr>
    </w:p>
    <w:p>
      <w:pPr>
        <w:ind w:firstLine="630"/>
        <w:rPr>
          <w:rFonts w:asciiTheme="majorEastAsia" w:hAnsiTheme="majorEastAsia" w:eastAsiaTheme="majorEastAsia"/>
          <w:b/>
          <w:bCs/>
          <w:sz w:val="32"/>
          <w:szCs w:val="32"/>
        </w:rPr>
      </w:pPr>
      <w:r>
        <w:rPr>
          <w:rFonts w:hint="eastAsia" w:ascii="Times New Roman" w:eastAsia="仿宋_GB2312"/>
          <w:sz w:val="32"/>
          <w:szCs w:val="32"/>
        </w:rPr>
        <w:t>本机构</w:t>
      </w:r>
      <w:r>
        <w:rPr>
          <w:rFonts w:ascii="Times New Roman" w:eastAsia="仿宋_GB2312"/>
          <w:sz w:val="32"/>
          <w:szCs w:val="32"/>
        </w:rPr>
        <w:t>成立于</w:t>
      </w:r>
      <w:r>
        <w:rPr>
          <w:rFonts w:hint="eastAsia" w:ascii="Times New Roman" w:eastAsia="仿宋_GB2312"/>
          <w:sz w:val="32"/>
          <w:szCs w:val="32"/>
          <w:u w:val="single"/>
        </w:rPr>
        <w:t xml:space="preserve">       </w:t>
      </w:r>
      <w:r>
        <w:rPr>
          <w:rFonts w:ascii="Times New Roman" w:eastAsia="仿宋_GB2312"/>
          <w:sz w:val="32"/>
          <w:szCs w:val="32"/>
        </w:rPr>
        <w:t>年</w:t>
      </w:r>
      <w:r>
        <w:rPr>
          <w:rFonts w:ascii="Times New Roman" w:eastAsia="仿宋_GB2312"/>
          <w:sz w:val="32"/>
          <w:szCs w:val="32"/>
          <w:u w:val="single"/>
        </w:rPr>
        <w:t>   </w:t>
      </w:r>
      <w:r>
        <w:rPr>
          <w:rFonts w:hint="eastAsia" w:ascii="Times New Roman" w:eastAsia="仿宋_GB2312"/>
          <w:sz w:val="32"/>
          <w:szCs w:val="32"/>
          <w:u w:val="single"/>
        </w:rPr>
        <w:t xml:space="preserve">     </w:t>
      </w:r>
      <w:r>
        <w:rPr>
          <w:rFonts w:ascii="Times New Roman" w:eastAsia="仿宋_GB2312"/>
          <w:sz w:val="32"/>
          <w:szCs w:val="32"/>
        </w:rPr>
        <w:t>月</w:t>
      </w:r>
      <w:r>
        <w:rPr>
          <w:rFonts w:hint="eastAsia" w:ascii="Times New Roman" w:eastAsia="仿宋_GB2312"/>
          <w:sz w:val="32"/>
          <w:szCs w:val="32"/>
        </w:rPr>
        <w:t>，</w:t>
      </w:r>
      <w:r>
        <w:rPr>
          <w:rFonts w:ascii="Times New Roman" w:eastAsia="仿宋_GB2312"/>
          <w:sz w:val="32"/>
          <w:szCs w:val="32"/>
        </w:rPr>
        <w:t>地址位于：</w:t>
      </w:r>
      <w:r>
        <w:rPr>
          <w:rFonts w:ascii="Times New Roman" w:eastAsia="仿宋_GB2312"/>
          <w:sz w:val="32"/>
          <w:szCs w:val="32"/>
          <w:u w:val="single"/>
        </w:rPr>
        <w:t>  </w:t>
      </w:r>
      <w:r>
        <w:rPr>
          <w:rFonts w:hint="eastAsia" w:ascii="Times New Roman" w:eastAsia="仿宋_GB2312"/>
          <w:sz w:val="32"/>
          <w:szCs w:val="32"/>
          <w:u w:val="single"/>
        </w:rPr>
        <w:t xml:space="preserve">    </w:t>
      </w:r>
      <w:r>
        <w:rPr>
          <w:rFonts w:ascii="Times New Roman" w:eastAsia="仿宋_GB2312"/>
          <w:sz w:val="32"/>
          <w:szCs w:val="32"/>
          <w:u w:val="single"/>
        </w:rPr>
        <w:t>  </w:t>
      </w:r>
      <w:r>
        <w:rPr>
          <w:rFonts w:ascii="Times New Roman" w:eastAsia="仿宋_GB2312"/>
          <w:sz w:val="32"/>
          <w:szCs w:val="32"/>
        </w:rPr>
        <w:t>市</w:t>
      </w:r>
      <w:r>
        <w:rPr>
          <w:rFonts w:ascii="Times New Roman" w:eastAsia="仿宋_GB2312"/>
          <w:sz w:val="32"/>
          <w:szCs w:val="32"/>
          <w:u w:val="single"/>
        </w:rPr>
        <w:t> </w:t>
      </w:r>
      <w:r>
        <w:rPr>
          <w:rFonts w:hint="eastAsia" w:ascii="Times New Roman" w:eastAsia="仿宋_GB2312"/>
          <w:sz w:val="32"/>
          <w:szCs w:val="32"/>
          <w:u w:val="single"/>
        </w:rPr>
        <w:t xml:space="preserve">    </w:t>
      </w:r>
      <w:r>
        <w:rPr>
          <w:rFonts w:ascii="Times New Roman" w:eastAsia="仿宋_GB2312"/>
          <w:sz w:val="32"/>
          <w:szCs w:val="32"/>
          <w:u w:val="single"/>
        </w:rPr>
        <w:t>   </w:t>
      </w:r>
      <w:r>
        <w:rPr>
          <w:rFonts w:ascii="Times New Roman" w:eastAsia="仿宋_GB2312"/>
          <w:sz w:val="32"/>
          <w:szCs w:val="32"/>
        </w:rPr>
        <w:t>区</w:t>
      </w:r>
      <w:r>
        <w:rPr>
          <w:rFonts w:ascii="Times New Roman" w:eastAsia="仿宋_GB2312"/>
          <w:sz w:val="32"/>
          <w:szCs w:val="32"/>
          <w:u w:val="single"/>
        </w:rPr>
        <w:t> </w:t>
      </w:r>
      <w:r>
        <w:rPr>
          <w:rFonts w:hint="eastAsia" w:ascii="Times New Roman" w:eastAsia="仿宋_GB2312"/>
          <w:sz w:val="32"/>
          <w:szCs w:val="32"/>
          <w:u w:val="single"/>
        </w:rPr>
        <w:t xml:space="preserve">    </w:t>
      </w:r>
      <w:r>
        <w:rPr>
          <w:rFonts w:ascii="Times New Roman" w:eastAsia="仿宋_GB2312"/>
          <w:sz w:val="32"/>
          <w:szCs w:val="32"/>
          <w:u w:val="single"/>
        </w:rPr>
        <w:t>    </w:t>
      </w:r>
      <w:r>
        <w:rPr>
          <w:rFonts w:ascii="Times New Roman" w:eastAsia="仿宋_GB2312"/>
          <w:sz w:val="32"/>
          <w:szCs w:val="32"/>
        </w:rPr>
        <w:t>路</w:t>
      </w:r>
      <w:r>
        <w:rPr>
          <w:rFonts w:ascii="Times New Roman" w:eastAsia="仿宋_GB2312"/>
          <w:sz w:val="32"/>
          <w:szCs w:val="32"/>
          <w:u w:val="single"/>
        </w:rPr>
        <w:t> </w:t>
      </w:r>
      <w:r>
        <w:rPr>
          <w:rFonts w:hint="eastAsia" w:ascii="Times New Roman" w:eastAsia="仿宋_GB2312"/>
          <w:sz w:val="32"/>
          <w:szCs w:val="32"/>
          <w:u w:val="single"/>
        </w:rPr>
        <w:t xml:space="preserve">    </w:t>
      </w:r>
      <w:r>
        <w:rPr>
          <w:rFonts w:ascii="Times New Roman" w:eastAsia="仿宋_GB2312"/>
          <w:sz w:val="32"/>
          <w:szCs w:val="32"/>
          <w:u w:val="single"/>
        </w:rPr>
        <w:t>   </w:t>
      </w:r>
      <w:r>
        <w:rPr>
          <w:rFonts w:ascii="Times New Roman" w:eastAsia="仿宋_GB2312"/>
          <w:sz w:val="32"/>
          <w:szCs w:val="32"/>
        </w:rPr>
        <w:t>号</w:t>
      </w:r>
      <w:r>
        <w:rPr>
          <w:rFonts w:hint="eastAsia" w:ascii="Times New Roman" w:eastAsia="仿宋_GB2312"/>
          <w:sz w:val="32"/>
          <w:szCs w:val="32"/>
        </w:rPr>
        <w:t>，</w:t>
      </w:r>
      <w:r>
        <w:rPr>
          <w:rFonts w:ascii="Times New Roman" w:eastAsia="仿宋_GB2312"/>
          <w:sz w:val="32"/>
          <w:szCs w:val="32"/>
        </w:rPr>
        <w:t>法人代表是：</w:t>
      </w:r>
      <w:r>
        <w:rPr>
          <w:rFonts w:ascii="Times New Roman" w:eastAsia="仿宋_GB2312"/>
          <w:sz w:val="32"/>
          <w:szCs w:val="32"/>
          <w:u w:val="single"/>
        </w:rPr>
        <w:t>    </w:t>
      </w:r>
      <w:r>
        <w:rPr>
          <w:rFonts w:hint="eastAsia" w:ascii="Times New Roman" w:eastAsia="仿宋_GB2312"/>
          <w:sz w:val="32"/>
          <w:szCs w:val="32"/>
          <w:u w:val="single"/>
        </w:rPr>
        <w:t xml:space="preserve"> </w:t>
      </w:r>
      <w:r>
        <w:rPr>
          <w:rFonts w:ascii="Times New Roman" w:eastAsia="仿宋_GB2312"/>
          <w:sz w:val="32"/>
          <w:szCs w:val="32"/>
          <w:u w:val="single"/>
        </w:rPr>
        <w:t>         </w:t>
      </w:r>
      <w:r>
        <w:rPr>
          <w:rFonts w:ascii="Times New Roman" w:eastAsia="仿宋_GB2312"/>
          <w:sz w:val="32"/>
          <w:szCs w:val="32"/>
        </w:rPr>
        <w:t>先生/女士。本</w:t>
      </w:r>
      <w:r>
        <w:rPr>
          <w:rFonts w:hint="eastAsia" w:ascii="Times New Roman" w:eastAsia="仿宋_GB2312"/>
          <w:sz w:val="32"/>
          <w:szCs w:val="32"/>
        </w:rPr>
        <w:t>机构</w:t>
      </w:r>
      <w:r>
        <w:rPr>
          <w:rFonts w:ascii="Times New Roman" w:eastAsia="仿宋_GB2312"/>
          <w:sz w:val="32"/>
          <w:szCs w:val="32"/>
        </w:rPr>
        <w:t>持有</w:t>
      </w:r>
      <w:r>
        <w:rPr>
          <w:rFonts w:hint="eastAsia" w:ascii="Times New Roman" w:eastAsia="仿宋_GB2312"/>
          <w:sz w:val="32"/>
          <w:szCs w:val="32"/>
        </w:rPr>
        <w:t>江苏省建设行政主管部门核发的资质证书</w:t>
      </w:r>
      <w:r>
        <w:rPr>
          <w:rFonts w:ascii="Times New Roman" w:eastAsia="仿宋_GB2312"/>
          <w:sz w:val="32"/>
          <w:szCs w:val="32"/>
        </w:rPr>
        <w:t>。现根据《</w:t>
      </w:r>
      <w:r>
        <w:rPr>
          <w:rFonts w:hint="eastAsia" w:ascii="Times New Roman" w:eastAsia="仿宋_GB2312"/>
          <w:sz w:val="32"/>
          <w:szCs w:val="32"/>
        </w:rPr>
        <w:t>泰州市建设工程质量检测机构综合评价暂行办法</w:t>
      </w:r>
      <w:r>
        <w:rPr>
          <w:rFonts w:ascii="Times New Roman" w:eastAsia="仿宋_GB2312"/>
          <w:sz w:val="32"/>
          <w:szCs w:val="32"/>
        </w:rPr>
        <w:t>》，参加</w:t>
      </w:r>
      <w:r>
        <w:rPr>
          <w:rFonts w:hint="eastAsia" w:ascii="Times New Roman" w:eastAsia="仿宋_GB2312"/>
          <w:sz w:val="32"/>
          <w:szCs w:val="32"/>
        </w:rPr>
        <w:t>检测机构</w:t>
      </w:r>
      <w:r>
        <w:rPr>
          <w:rFonts w:ascii="Times New Roman" w:eastAsia="仿宋_GB2312"/>
          <w:sz w:val="32"/>
          <w:szCs w:val="32"/>
        </w:rPr>
        <w:t>综合评价。本</w:t>
      </w:r>
      <w:r>
        <w:rPr>
          <w:rFonts w:hint="eastAsia" w:ascii="Times New Roman" w:eastAsia="仿宋_GB2312"/>
          <w:sz w:val="32"/>
          <w:szCs w:val="32"/>
        </w:rPr>
        <w:t>机构</w:t>
      </w:r>
      <w:r>
        <w:rPr>
          <w:rFonts w:ascii="Times New Roman" w:eastAsia="仿宋_GB2312"/>
          <w:sz w:val="32"/>
          <w:szCs w:val="32"/>
        </w:rPr>
        <w:t>承诺所提供的资料均真实、有效。本</w:t>
      </w:r>
      <w:r>
        <w:rPr>
          <w:rFonts w:hint="eastAsia" w:ascii="Times New Roman" w:eastAsia="仿宋_GB2312"/>
          <w:sz w:val="32"/>
          <w:szCs w:val="32"/>
        </w:rPr>
        <w:t>机构</w:t>
      </w:r>
      <w:r>
        <w:rPr>
          <w:rFonts w:ascii="Times New Roman" w:eastAsia="仿宋_GB2312"/>
          <w:sz w:val="32"/>
          <w:szCs w:val="32"/>
        </w:rPr>
        <w:t>诚实守信、守法经营，如有隐瞒情况或提供虚假材料以及经营管理中发生失信行为，本</w:t>
      </w:r>
      <w:r>
        <w:rPr>
          <w:rFonts w:hint="eastAsia" w:ascii="Times New Roman" w:eastAsia="仿宋_GB2312"/>
          <w:sz w:val="32"/>
          <w:szCs w:val="32"/>
        </w:rPr>
        <w:t>机构</w:t>
      </w:r>
      <w:r>
        <w:rPr>
          <w:rFonts w:ascii="Times New Roman" w:eastAsia="仿宋_GB2312"/>
          <w:sz w:val="32"/>
          <w:szCs w:val="32"/>
        </w:rPr>
        <w:t>愿意接受建设行政主管部门及其他有关部门依据</w:t>
      </w:r>
      <w:r>
        <w:rPr>
          <w:rFonts w:hint="eastAsia" w:ascii="Times New Roman" w:eastAsia="仿宋_GB2312"/>
          <w:sz w:val="32"/>
          <w:szCs w:val="32"/>
        </w:rPr>
        <w:t>相</w:t>
      </w:r>
      <w:r>
        <w:rPr>
          <w:rFonts w:ascii="Times New Roman" w:eastAsia="仿宋_GB2312"/>
          <w:sz w:val="32"/>
          <w:szCs w:val="32"/>
        </w:rPr>
        <w:t>关法律法规给予的处罚。</w:t>
      </w:r>
    </w:p>
    <w:p>
      <w:pPr>
        <w:shd w:val="clear" w:color="auto" w:fill="FFFFFF"/>
        <w:spacing w:line="600" w:lineRule="exact"/>
        <w:rPr>
          <w:rFonts w:ascii="Times New Roman" w:eastAsia="仿宋_GB2312"/>
          <w:sz w:val="32"/>
          <w:szCs w:val="32"/>
        </w:rPr>
      </w:pPr>
      <w:r>
        <w:rPr>
          <w:rFonts w:ascii="Times New Roman" w:eastAsia="仿宋_GB2312"/>
          <w:sz w:val="32"/>
          <w:szCs w:val="32"/>
        </w:rPr>
        <w:t>联系人/职务：              </w:t>
      </w:r>
    </w:p>
    <w:p>
      <w:pPr>
        <w:shd w:val="clear" w:color="auto" w:fill="FFFFFF"/>
        <w:spacing w:line="600" w:lineRule="exact"/>
        <w:rPr>
          <w:rFonts w:ascii="Times New Roman" w:eastAsia="仿宋_GB2312"/>
          <w:sz w:val="32"/>
          <w:szCs w:val="32"/>
        </w:rPr>
      </w:pPr>
      <w:r>
        <w:rPr>
          <w:rFonts w:ascii="Times New Roman" w:eastAsia="仿宋_GB2312"/>
          <w:sz w:val="32"/>
          <w:szCs w:val="32"/>
        </w:rPr>
        <w:t> 联系电话：   </w:t>
      </w:r>
    </w:p>
    <w:p>
      <w:pPr>
        <w:shd w:val="clear" w:color="auto" w:fill="FFFFFF"/>
        <w:spacing w:line="600" w:lineRule="exact"/>
        <w:ind w:firstLine="640"/>
        <w:rPr>
          <w:rFonts w:ascii="Times New Roman" w:eastAsia="仿宋_GB2312"/>
          <w:sz w:val="32"/>
          <w:szCs w:val="32"/>
        </w:rPr>
      </w:pPr>
      <w:r>
        <w:rPr>
          <w:rFonts w:hint="eastAsia" w:ascii="Times New Roman" w:eastAsia="仿宋_GB2312"/>
          <w:sz w:val="32"/>
          <w:szCs w:val="32"/>
        </w:rPr>
        <w:t xml:space="preserve">                 </w:t>
      </w:r>
    </w:p>
    <w:p>
      <w:pPr>
        <w:shd w:val="clear" w:color="auto" w:fill="FFFFFF"/>
        <w:spacing w:line="600" w:lineRule="exact"/>
        <w:ind w:firstLine="640"/>
        <w:rPr>
          <w:rFonts w:ascii="Times New Roman" w:eastAsia="仿宋_GB2312"/>
          <w:sz w:val="32"/>
          <w:szCs w:val="32"/>
        </w:rPr>
      </w:pPr>
      <w:r>
        <w:rPr>
          <w:rFonts w:hint="eastAsia" w:ascii="Times New Roman" w:eastAsia="仿宋_GB2312"/>
          <w:sz w:val="32"/>
          <w:szCs w:val="32"/>
        </w:rPr>
        <w:t xml:space="preserve">                </w:t>
      </w:r>
    </w:p>
    <w:p>
      <w:pPr>
        <w:shd w:val="clear" w:color="auto" w:fill="FFFFFF"/>
        <w:spacing w:line="600" w:lineRule="exact"/>
        <w:ind w:firstLine="640"/>
        <w:rPr>
          <w:rFonts w:ascii="Times New Roman" w:eastAsia="仿宋_GB2312"/>
          <w:sz w:val="32"/>
          <w:szCs w:val="32"/>
        </w:rPr>
      </w:pPr>
      <w:r>
        <w:rPr>
          <w:rFonts w:hint="eastAsia" w:ascii="Times New Roman" w:eastAsia="仿宋_GB2312"/>
          <w:sz w:val="32"/>
          <w:szCs w:val="32"/>
        </w:rPr>
        <w:t xml:space="preserve">                 机构</w:t>
      </w:r>
      <w:r>
        <w:rPr>
          <w:rFonts w:ascii="Times New Roman" w:eastAsia="仿宋_GB2312"/>
          <w:sz w:val="32"/>
          <w:szCs w:val="32"/>
        </w:rPr>
        <w:t>名称（盖章）：   </w:t>
      </w:r>
    </w:p>
    <w:p>
      <w:pPr>
        <w:shd w:val="clear" w:color="auto" w:fill="FFFFFF"/>
        <w:spacing w:line="600" w:lineRule="exact"/>
        <w:ind w:firstLine="640"/>
        <w:rPr>
          <w:rFonts w:ascii="Times New Roman" w:eastAsia="仿宋_GB2312"/>
          <w:sz w:val="32"/>
          <w:szCs w:val="32"/>
        </w:rPr>
      </w:pPr>
      <w:r>
        <w:rPr>
          <w:rFonts w:hint="eastAsia" w:ascii="Times New Roman" w:eastAsia="仿宋_GB2312"/>
          <w:sz w:val="32"/>
          <w:szCs w:val="32"/>
        </w:rPr>
        <w:t xml:space="preserve">                 机构</w:t>
      </w:r>
      <w:r>
        <w:rPr>
          <w:rFonts w:ascii="Times New Roman" w:eastAsia="仿宋_GB2312"/>
          <w:sz w:val="32"/>
          <w:szCs w:val="32"/>
        </w:rPr>
        <w:t>法人签名：                 </w:t>
      </w:r>
    </w:p>
    <w:p>
      <w:pPr>
        <w:shd w:val="clear" w:color="auto" w:fill="FFFFFF"/>
        <w:spacing w:line="600" w:lineRule="exact"/>
        <w:ind w:firstLine="2880"/>
        <w:rPr>
          <w:rFonts w:ascii="Times New Roman" w:eastAsia="仿宋_GB2312"/>
          <w:sz w:val="32"/>
          <w:szCs w:val="32"/>
        </w:rPr>
      </w:pPr>
      <w:r>
        <w:rPr>
          <w:rFonts w:hint="eastAsia" w:ascii="Times New Roman" w:eastAsia="仿宋_GB2312"/>
          <w:sz w:val="32"/>
          <w:szCs w:val="32"/>
        </w:rPr>
        <w:t xml:space="preserve">   </w:t>
      </w:r>
      <w:r>
        <w:rPr>
          <w:rFonts w:ascii="Times New Roman" w:eastAsia="仿宋_GB2312"/>
          <w:sz w:val="32"/>
          <w:szCs w:val="32"/>
        </w:rPr>
        <w:t>日期：       年    月    日</w:t>
      </w:r>
    </w:p>
    <w:p>
      <w:pPr>
        <w:shd w:val="clear" w:color="auto" w:fill="FFFFFF"/>
        <w:spacing w:line="600" w:lineRule="exact"/>
        <w:rPr>
          <w:rFonts w:ascii="Times New Roman" w:eastAsia="仿宋_GB2312"/>
          <w:sz w:val="32"/>
          <w:szCs w:val="32"/>
        </w:rPr>
      </w:pPr>
      <w:r>
        <w:rPr>
          <w:rFonts w:ascii="Times New Roman" w:eastAsia="仿宋_GB2312"/>
          <w:sz w:val="32"/>
          <w:szCs w:val="32"/>
        </w:rPr>
        <w:t>                         </w:t>
      </w:r>
    </w:p>
    <w:p>
      <w:pPr>
        <w:shd w:val="clear" w:color="auto" w:fill="FFFFFF"/>
        <w:spacing w:line="600" w:lineRule="exact"/>
        <w:rPr>
          <w:rFonts w:hint="eastAsia" w:ascii="Times New Roman" w:eastAsia="仿宋_GB2312"/>
          <w:sz w:val="32"/>
          <w:szCs w:val="32"/>
        </w:rPr>
      </w:pPr>
      <w:r>
        <w:rPr>
          <w:rFonts w:ascii="Times New Roman" w:eastAsia="仿宋_GB2312"/>
          <w:sz w:val="32"/>
          <w:szCs w:val="32"/>
        </w:rPr>
        <w:t>  </w:t>
      </w:r>
    </w:p>
    <w:p>
      <w:pPr>
        <w:shd w:val="clear" w:color="auto" w:fill="FFFFFF"/>
        <w:spacing w:line="600" w:lineRule="exact"/>
        <w:rPr>
          <w:rFonts w:ascii="Times New Roman" w:eastAsia="仿宋_GB2312"/>
          <w:sz w:val="32"/>
          <w:szCs w:val="32"/>
        </w:rPr>
      </w:pPr>
    </w:p>
    <w:p>
      <w:pPr>
        <w:shd w:val="clear" w:color="auto" w:fill="FFFFFF"/>
        <w:spacing w:line="600" w:lineRule="exact"/>
        <w:rPr>
          <w:rFonts w:ascii="宋体" w:hAnsi="宋体" w:eastAsia="宋体" w:cs="Times New Roman"/>
          <w:b/>
          <w:sz w:val="30"/>
          <w:szCs w:val="30"/>
        </w:rPr>
      </w:pPr>
      <w:r>
        <w:rPr>
          <w:rFonts w:hint="eastAsia" w:ascii="Times New Roman" w:eastAsia="仿宋_GB2312"/>
          <w:sz w:val="32"/>
          <w:szCs w:val="32"/>
        </w:rPr>
        <w:t xml:space="preserve">   </w:t>
      </w:r>
      <w:r>
        <w:rPr>
          <w:rFonts w:hint="eastAsia" w:ascii="宋体" w:hAnsi="宋体" w:eastAsia="宋体" w:cs="Times New Roman"/>
          <w:b/>
          <w:sz w:val="30"/>
          <w:szCs w:val="30"/>
        </w:rPr>
        <w:t>附件2</w:t>
      </w:r>
    </w:p>
    <w:p>
      <w:pPr>
        <w:spacing w:line="520" w:lineRule="exact"/>
        <w:ind w:firstLine="560" w:firstLineChars="200"/>
        <w:jc w:val="center"/>
        <w:rPr>
          <w:rFonts w:ascii="Times New Roman" w:hAnsi="Times New Roman"/>
          <w:sz w:val="28"/>
        </w:rPr>
      </w:pPr>
      <w:r>
        <w:rPr>
          <w:rFonts w:hint="eastAsia" w:ascii="Times New Roman" w:hAnsi="Times New Roman"/>
          <w:sz w:val="28"/>
        </w:rPr>
        <w:t xml:space="preserve"> </w:t>
      </w:r>
    </w:p>
    <w:p>
      <w:pPr>
        <w:spacing w:line="520" w:lineRule="exact"/>
        <w:ind w:firstLine="560" w:firstLineChars="200"/>
        <w:jc w:val="center"/>
        <w:rPr>
          <w:rFonts w:ascii="Times New Roman" w:hAnsi="Times New Roman"/>
          <w:b/>
          <w:sz w:val="36"/>
          <w:szCs w:val="36"/>
        </w:rPr>
      </w:pPr>
      <w:r>
        <w:rPr>
          <w:rFonts w:hint="eastAsia" w:ascii="Times New Roman" w:hAnsi="Times New Roman"/>
          <w:sz w:val="28"/>
        </w:rPr>
        <w:t xml:space="preserve"> </w:t>
      </w:r>
      <w:r>
        <w:rPr>
          <w:rFonts w:hint="eastAsia" w:ascii="Times New Roman" w:hAnsi="Times New Roman"/>
          <w:b/>
          <w:sz w:val="36"/>
          <w:szCs w:val="36"/>
        </w:rPr>
        <w:t>泰州市</w:t>
      </w:r>
      <w:r>
        <w:rPr>
          <w:rFonts w:ascii="Times New Roman" w:hAnsi="Times New Roman"/>
          <w:b/>
          <w:sz w:val="36"/>
          <w:szCs w:val="36"/>
        </w:rPr>
        <w:t>检测机构</w:t>
      </w:r>
      <w:r>
        <w:rPr>
          <w:rFonts w:hint="eastAsia" w:ascii="Times New Roman" w:hAnsi="Times New Roman"/>
          <w:b/>
          <w:sz w:val="36"/>
          <w:szCs w:val="36"/>
        </w:rPr>
        <w:t>综合评价等级含义和划分标准</w:t>
      </w:r>
    </w:p>
    <w:p>
      <w:pPr>
        <w:spacing w:line="520" w:lineRule="exact"/>
        <w:ind w:firstLine="201" w:firstLineChars="200"/>
        <w:jc w:val="center"/>
        <w:rPr>
          <w:rFonts w:ascii="Times New Roman" w:hAnsi="Times New Roman"/>
          <w:b/>
          <w:sz w:val="10"/>
          <w:szCs w:val="10"/>
        </w:rPr>
      </w:pP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52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520" w:lineRule="exact"/>
              <w:jc w:val="center"/>
              <w:rPr>
                <w:rFonts w:ascii="Times New Roman" w:hAnsi="Times New Roman"/>
                <w:sz w:val="28"/>
              </w:rPr>
            </w:pPr>
            <w:r>
              <w:rPr>
                <w:rFonts w:hint="eastAsia" w:ascii="Times New Roman" w:hAnsi="Times New Roman"/>
                <w:sz w:val="28"/>
              </w:rPr>
              <w:t>综合评价等级</w:t>
            </w:r>
          </w:p>
        </w:tc>
        <w:tc>
          <w:tcPr>
            <w:tcW w:w="5528" w:type="dxa"/>
            <w:vAlign w:val="center"/>
          </w:tcPr>
          <w:p>
            <w:pPr>
              <w:spacing w:line="520" w:lineRule="exact"/>
              <w:jc w:val="center"/>
              <w:rPr>
                <w:rFonts w:ascii="Times New Roman" w:hAnsi="Times New Roman"/>
                <w:sz w:val="28"/>
              </w:rPr>
            </w:pPr>
            <w:r>
              <w:rPr>
                <w:rFonts w:hint="eastAsia" w:ascii="Times New Roman" w:hAnsi="Times New Roman"/>
                <w:sz w:val="28"/>
              </w:rPr>
              <w:t>含义</w:t>
            </w:r>
          </w:p>
        </w:tc>
        <w:tc>
          <w:tcPr>
            <w:tcW w:w="2268" w:type="dxa"/>
            <w:vAlign w:val="center"/>
          </w:tcPr>
          <w:p>
            <w:pPr>
              <w:spacing w:line="520" w:lineRule="exact"/>
              <w:jc w:val="center"/>
              <w:rPr>
                <w:rFonts w:ascii="Times New Roman" w:hAnsi="Times New Roman"/>
                <w:sz w:val="28"/>
              </w:rPr>
            </w:pPr>
            <w:r>
              <w:rPr>
                <w:rFonts w:hint="eastAsia" w:ascii="Times New Roman" w:hAnsi="Times New Roman"/>
                <w:sz w:val="28"/>
              </w:rPr>
              <w:t>划分标准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520" w:lineRule="exact"/>
              <w:jc w:val="center"/>
              <w:rPr>
                <w:rFonts w:ascii="Times New Roman" w:hAnsi="Times New Roman"/>
                <w:sz w:val="24"/>
                <w:szCs w:val="18"/>
              </w:rPr>
            </w:pPr>
            <w:r>
              <w:rPr>
                <w:rFonts w:ascii="Times New Roman" w:hAnsi="Times New Roman"/>
                <w:sz w:val="24"/>
                <w:szCs w:val="18"/>
              </w:rPr>
              <w:t>A</w:t>
            </w:r>
          </w:p>
        </w:tc>
        <w:tc>
          <w:tcPr>
            <w:tcW w:w="5528" w:type="dxa"/>
            <w:vAlign w:val="center"/>
          </w:tcPr>
          <w:p>
            <w:pPr>
              <w:spacing w:line="520" w:lineRule="exact"/>
              <w:rPr>
                <w:rFonts w:ascii="Times New Roman" w:hAnsi="Times New Roman"/>
                <w:sz w:val="24"/>
                <w:szCs w:val="18"/>
              </w:rPr>
            </w:pPr>
            <w:r>
              <w:rPr>
                <w:rFonts w:ascii="Times New Roman" w:hAnsi="Times New Roman"/>
                <w:sz w:val="24"/>
                <w:szCs w:val="18"/>
              </w:rPr>
              <w:t>检测机构诚信度高，各项指标优秀，企业素质高、诚信意识强、经营状况好、</w:t>
            </w:r>
            <w:r>
              <w:rPr>
                <w:rFonts w:hint="eastAsia" w:ascii="Times New Roman" w:hAnsi="Times New Roman"/>
                <w:sz w:val="24"/>
                <w:szCs w:val="18"/>
              </w:rPr>
              <w:t>业务能力强、</w:t>
            </w:r>
            <w:r>
              <w:rPr>
                <w:rFonts w:ascii="Times New Roman" w:hAnsi="Times New Roman"/>
                <w:sz w:val="24"/>
                <w:szCs w:val="18"/>
              </w:rPr>
              <w:t>履约能力强、社会信誉好。</w:t>
            </w:r>
          </w:p>
        </w:tc>
        <w:tc>
          <w:tcPr>
            <w:tcW w:w="2268" w:type="dxa"/>
            <w:vAlign w:val="center"/>
          </w:tcPr>
          <w:p>
            <w:pPr>
              <w:spacing w:line="520" w:lineRule="exact"/>
              <w:rPr>
                <w:rFonts w:ascii="Times New Roman" w:hAnsi="Times New Roman"/>
                <w:sz w:val="24"/>
                <w:szCs w:val="18"/>
              </w:rPr>
            </w:pPr>
            <w:r>
              <w:rPr>
                <w:rFonts w:ascii="Times New Roman" w:hAnsi="Times New Roman"/>
                <w:sz w:val="24"/>
                <w:szCs w:val="21"/>
              </w:rPr>
              <w:t>综合得分在90分（含）以上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520" w:lineRule="exact"/>
              <w:jc w:val="center"/>
              <w:rPr>
                <w:rFonts w:ascii="Times New Roman" w:hAnsi="Times New Roman"/>
                <w:sz w:val="24"/>
                <w:szCs w:val="18"/>
              </w:rPr>
            </w:pPr>
            <w:r>
              <w:rPr>
                <w:rFonts w:hint="eastAsia" w:ascii="Times New Roman" w:hAnsi="Times New Roman"/>
                <w:sz w:val="24"/>
                <w:szCs w:val="18"/>
              </w:rPr>
              <w:t>B</w:t>
            </w:r>
          </w:p>
        </w:tc>
        <w:tc>
          <w:tcPr>
            <w:tcW w:w="5528" w:type="dxa"/>
            <w:vAlign w:val="center"/>
          </w:tcPr>
          <w:p>
            <w:pPr>
              <w:spacing w:line="520" w:lineRule="exact"/>
              <w:rPr>
                <w:rFonts w:ascii="Times New Roman" w:hAnsi="Times New Roman"/>
                <w:sz w:val="24"/>
                <w:szCs w:val="18"/>
              </w:rPr>
            </w:pPr>
            <w:r>
              <w:rPr>
                <w:rFonts w:ascii="Times New Roman" w:hAnsi="Times New Roman"/>
                <w:sz w:val="24"/>
                <w:szCs w:val="18"/>
              </w:rPr>
              <w:t>检测机构诚信度</w:t>
            </w:r>
            <w:r>
              <w:rPr>
                <w:rFonts w:hint="eastAsia" w:ascii="Times New Roman" w:hAnsi="Times New Roman"/>
                <w:sz w:val="24"/>
                <w:szCs w:val="18"/>
              </w:rPr>
              <w:t>较</w:t>
            </w:r>
            <w:r>
              <w:rPr>
                <w:rFonts w:ascii="Times New Roman" w:hAnsi="Times New Roman"/>
                <w:sz w:val="24"/>
                <w:szCs w:val="18"/>
              </w:rPr>
              <w:t>高，各项指标先进，企业素质</w:t>
            </w:r>
            <w:r>
              <w:rPr>
                <w:rFonts w:hint="eastAsia" w:ascii="Times New Roman" w:hAnsi="Times New Roman"/>
                <w:sz w:val="24"/>
                <w:szCs w:val="18"/>
              </w:rPr>
              <w:t>较</w:t>
            </w:r>
            <w:r>
              <w:rPr>
                <w:rFonts w:ascii="Times New Roman" w:hAnsi="Times New Roman"/>
                <w:sz w:val="24"/>
                <w:szCs w:val="18"/>
              </w:rPr>
              <w:t>高、诚信意识</w:t>
            </w:r>
            <w:r>
              <w:rPr>
                <w:rFonts w:hint="eastAsia" w:ascii="Times New Roman" w:hAnsi="Times New Roman"/>
                <w:sz w:val="24"/>
                <w:szCs w:val="18"/>
              </w:rPr>
              <w:t>较</w:t>
            </w:r>
            <w:r>
              <w:rPr>
                <w:rFonts w:ascii="Times New Roman" w:hAnsi="Times New Roman"/>
                <w:sz w:val="24"/>
                <w:szCs w:val="18"/>
              </w:rPr>
              <w:t>强、经营状况</w:t>
            </w:r>
            <w:r>
              <w:rPr>
                <w:rFonts w:hint="eastAsia" w:ascii="Times New Roman" w:hAnsi="Times New Roman"/>
                <w:sz w:val="24"/>
                <w:szCs w:val="18"/>
              </w:rPr>
              <w:t>较</w:t>
            </w:r>
            <w:r>
              <w:rPr>
                <w:rFonts w:ascii="Times New Roman" w:hAnsi="Times New Roman"/>
                <w:sz w:val="24"/>
                <w:szCs w:val="18"/>
              </w:rPr>
              <w:t>好、</w:t>
            </w:r>
            <w:r>
              <w:rPr>
                <w:rFonts w:hint="eastAsia" w:ascii="Times New Roman" w:hAnsi="Times New Roman"/>
                <w:sz w:val="24"/>
                <w:szCs w:val="18"/>
              </w:rPr>
              <w:t>业务能力较强、</w:t>
            </w:r>
            <w:r>
              <w:rPr>
                <w:rFonts w:ascii="Times New Roman" w:hAnsi="Times New Roman"/>
                <w:sz w:val="24"/>
                <w:szCs w:val="18"/>
              </w:rPr>
              <w:t>履约能力</w:t>
            </w:r>
            <w:r>
              <w:rPr>
                <w:rFonts w:hint="eastAsia" w:ascii="Times New Roman" w:hAnsi="Times New Roman"/>
                <w:sz w:val="24"/>
                <w:szCs w:val="18"/>
              </w:rPr>
              <w:t>较</w:t>
            </w:r>
            <w:r>
              <w:rPr>
                <w:rFonts w:ascii="Times New Roman" w:hAnsi="Times New Roman"/>
                <w:sz w:val="24"/>
                <w:szCs w:val="18"/>
              </w:rPr>
              <w:t>强、社会信誉</w:t>
            </w:r>
            <w:r>
              <w:rPr>
                <w:rFonts w:hint="eastAsia" w:ascii="Times New Roman" w:hAnsi="Times New Roman"/>
                <w:sz w:val="24"/>
                <w:szCs w:val="18"/>
              </w:rPr>
              <w:t>良</w:t>
            </w:r>
            <w:r>
              <w:rPr>
                <w:rFonts w:ascii="Times New Roman" w:hAnsi="Times New Roman"/>
                <w:sz w:val="24"/>
                <w:szCs w:val="18"/>
              </w:rPr>
              <w:t>好。</w:t>
            </w:r>
          </w:p>
        </w:tc>
        <w:tc>
          <w:tcPr>
            <w:tcW w:w="2268" w:type="dxa"/>
            <w:vAlign w:val="center"/>
          </w:tcPr>
          <w:p>
            <w:pPr>
              <w:spacing w:line="520" w:lineRule="exact"/>
              <w:rPr>
                <w:rFonts w:ascii="Times New Roman" w:hAnsi="Times New Roman"/>
                <w:sz w:val="24"/>
                <w:szCs w:val="18"/>
              </w:rPr>
            </w:pPr>
            <w:r>
              <w:rPr>
                <w:rFonts w:ascii="Times New Roman" w:hAnsi="Times New Roman"/>
                <w:sz w:val="24"/>
                <w:szCs w:val="21"/>
              </w:rPr>
              <w:t>综合得分在80（含）—</w:t>
            </w:r>
            <w:r>
              <w:rPr>
                <w:rFonts w:hint="eastAsia" w:ascii="Times New Roman" w:hAnsi="Times New Roman"/>
                <w:sz w:val="24"/>
                <w:szCs w:val="21"/>
              </w:rPr>
              <w:t>89</w:t>
            </w:r>
            <w:r>
              <w:rPr>
                <w:rFonts w:ascii="Times New Roman" w:hAnsi="Times New Roman"/>
                <w:sz w:val="24"/>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520" w:lineRule="exact"/>
              <w:jc w:val="center"/>
              <w:rPr>
                <w:rFonts w:ascii="Times New Roman" w:hAnsi="Times New Roman"/>
                <w:sz w:val="24"/>
                <w:szCs w:val="18"/>
              </w:rPr>
            </w:pPr>
            <w:r>
              <w:rPr>
                <w:rFonts w:hint="eastAsia" w:ascii="Times New Roman" w:hAnsi="Times New Roman"/>
                <w:sz w:val="24"/>
                <w:szCs w:val="18"/>
              </w:rPr>
              <w:t>C</w:t>
            </w:r>
          </w:p>
        </w:tc>
        <w:tc>
          <w:tcPr>
            <w:tcW w:w="5528" w:type="dxa"/>
            <w:vAlign w:val="center"/>
          </w:tcPr>
          <w:p>
            <w:pPr>
              <w:spacing w:line="520" w:lineRule="exact"/>
              <w:rPr>
                <w:rFonts w:ascii="Times New Roman" w:hAnsi="Times New Roman"/>
                <w:sz w:val="24"/>
                <w:szCs w:val="18"/>
              </w:rPr>
            </w:pPr>
            <w:r>
              <w:rPr>
                <w:rFonts w:ascii="Times New Roman" w:hAnsi="Times New Roman"/>
                <w:sz w:val="24"/>
                <w:szCs w:val="18"/>
              </w:rPr>
              <w:t>检测机构诚信度一般，各项指标一般，企业素质一般、诚信意识一般、经营状况一般、</w:t>
            </w:r>
            <w:r>
              <w:rPr>
                <w:rFonts w:hint="eastAsia" w:ascii="Times New Roman" w:hAnsi="Times New Roman"/>
                <w:sz w:val="24"/>
                <w:szCs w:val="18"/>
              </w:rPr>
              <w:t>业务能力一般、</w:t>
            </w:r>
            <w:r>
              <w:rPr>
                <w:rFonts w:ascii="Times New Roman" w:hAnsi="Times New Roman"/>
                <w:sz w:val="24"/>
                <w:szCs w:val="18"/>
              </w:rPr>
              <w:t>履约能力一般、社会信誉一般。</w:t>
            </w:r>
          </w:p>
        </w:tc>
        <w:tc>
          <w:tcPr>
            <w:tcW w:w="2268" w:type="dxa"/>
            <w:vAlign w:val="center"/>
          </w:tcPr>
          <w:p>
            <w:pPr>
              <w:spacing w:line="520" w:lineRule="exact"/>
              <w:rPr>
                <w:rFonts w:ascii="Times New Roman" w:hAnsi="Times New Roman"/>
                <w:sz w:val="24"/>
                <w:szCs w:val="18"/>
              </w:rPr>
            </w:pPr>
            <w:r>
              <w:rPr>
                <w:rFonts w:ascii="Times New Roman" w:hAnsi="Times New Roman"/>
                <w:sz w:val="24"/>
                <w:szCs w:val="21"/>
              </w:rPr>
              <w:t>综合得分在60（含）—</w:t>
            </w:r>
            <w:r>
              <w:rPr>
                <w:rFonts w:hint="eastAsia" w:ascii="Times New Roman" w:hAnsi="Times New Roman"/>
                <w:sz w:val="24"/>
                <w:szCs w:val="21"/>
              </w:rPr>
              <w:t>79</w:t>
            </w:r>
            <w:r>
              <w:rPr>
                <w:rFonts w:ascii="Times New Roman" w:hAnsi="Times New Roman"/>
                <w:sz w:val="24"/>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520" w:lineRule="exact"/>
              <w:jc w:val="center"/>
              <w:rPr>
                <w:rFonts w:ascii="Times New Roman" w:hAnsi="Times New Roman"/>
                <w:sz w:val="24"/>
                <w:szCs w:val="18"/>
              </w:rPr>
            </w:pPr>
            <w:r>
              <w:rPr>
                <w:rFonts w:hint="eastAsia" w:ascii="Times New Roman" w:hAnsi="Times New Roman"/>
                <w:sz w:val="24"/>
                <w:szCs w:val="18"/>
              </w:rPr>
              <w:t>D</w:t>
            </w:r>
          </w:p>
        </w:tc>
        <w:tc>
          <w:tcPr>
            <w:tcW w:w="5528" w:type="dxa"/>
            <w:vAlign w:val="center"/>
          </w:tcPr>
          <w:p>
            <w:pPr>
              <w:spacing w:line="520" w:lineRule="exact"/>
              <w:rPr>
                <w:rFonts w:ascii="Times New Roman" w:hAnsi="Times New Roman"/>
                <w:sz w:val="24"/>
                <w:szCs w:val="18"/>
              </w:rPr>
            </w:pPr>
            <w:r>
              <w:rPr>
                <w:rFonts w:ascii="Times New Roman" w:hAnsi="Times New Roman"/>
                <w:sz w:val="24"/>
                <w:szCs w:val="18"/>
              </w:rPr>
              <w:t>检测机构诚信度差，各项指标落后，企业素质低、诚信意识淡薄、经营状况不良、</w:t>
            </w:r>
            <w:r>
              <w:rPr>
                <w:rFonts w:hint="eastAsia" w:ascii="Times New Roman" w:hAnsi="Times New Roman"/>
                <w:sz w:val="24"/>
                <w:szCs w:val="18"/>
              </w:rPr>
              <w:t>业务能力差、</w:t>
            </w:r>
            <w:r>
              <w:rPr>
                <w:rFonts w:ascii="Times New Roman" w:hAnsi="Times New Roman"/>
                <w:sz w:val="24"/>
                <w:szCs w:val="18"/>
              </w:rPr>
              <w:t>履约能力弱、社会信誉差。</w:t>
            </w:r>
          </w:p>
        </w:tc>
        <w:tc>
          <w:tcPr>
            <w:tcW w:w="2268" w:type="dxa"/>
            <w:vAlign w:val="center"/>
          </w:tcPr>
          <w:p>
            <w:pPr>
              <w:spacing w:line="520" w:lineRule="exact"/>
              <w:rPr>
                <w:rFonts w:ascii="Times New Roman" w:hAnsi="Times New Roman"/>
                <w:sz w:val="24"/>
                <w:szCs w:val="18"/>
              </w:rPr>
            </w:pPr>
            <w:r>
              <w:rPr>
                <w:rFonts w:ascii="Times New Roman" w:hAnsi="Times New Roman"/>
                <w:sz w:val="24"/>
                <w:szCs w:val="21"/>
              </w:rPr>
              <w:t>综合得分在60分以下</w:t>
            </w:r>
          </w:p>
        </w:tc>
      </w:tr>
    </w:tbl>
    <w:p>
      <w:pPr>
        <w:ind w:firstLine="596" w:firstLineChars="198"/>
        <w:rPr>
          <w:rFonts w:ascii="宋体" w:hAnsi="宋体" w:eastAsia="宋体" w:cs="Times New Roman"/>
          <w:b/>
          <w:sz w:val="30"/>
          <w:szCs w:val="30"/>
        </w:rPr>
      </w:pPr>
    </w:p>
    <w:p>
      <w:pPr>
        <w:ind w:firstLine="596" w:firstLineChars="198"/>
        <w:rPr>
          <w:rFonts w:ascii="宋体" w:hAnsi="宋体" w:eastAsia="宋体" w:cs="Times New Roman"/>
          <w:b/>
          <w:sz w:val="30"/>
          <w:szCs w:val="30"/>
        </w:rPr>
        <w:sectPr>
          <w:pgSz w:w="11906" w:h="16838"/>
          <w:pgMar w:top="1440" w:right="1797" w:bottom="1440" w:left="1797" w:header="851" w:footer="992" w:gutter="0"/>
          <w:cols w:space="425" w:num="1"/>
          <w:docGrid w:type="lines" w:linePitch="312" w:charSpace="0"/>
        </w:sectPr>
      </w:pPr>
    </w:p>
    <w:p>
      <w:pPr>
        <w:ind w:firstLine="594" w:firstLineChars="198"/>
        <w:rPr>
          <w:rFonts w:ascii="宋体" w:hAnsi="宋体" w:eastAsia="宋体" w:cs="Times New Roman"/>
          <w:b/>
          <w:sz w:val="30"/>
          <w:szCs w:val="30"/>
        </w:rPr>
      </w:pPr>
      <w:r>
        <w:rPr>
          <w:rFonts w:hint="eastAsia" w:ascii="宋体" w:hAnsi="宋体" w:eastAsia="宋体" w:cs="Times New Roman"/>
          <w:b/>
          <w:sz w:val="30"/>
          <w:szCs w:val="30"/>
        </w:rPr>
        <w:t>附件3</w:t>
      </w:r>
    </w:p>
    <w:p>
      <w:pPr>
        <w:widowControl/>
        <w:jc w:val="center"/>
        <w:textAlignment w:val="center"/>
        <w:rPr>
          <w:rFonts w:ascii="Times New Roman" w:hAnsi="Times New Roman"/>
          <w:b/>
          <w:kern w:val="0"/>
          <w:sz w:val="44"/>
          <w:szCs w:val="44"/>
        </w:rPr>
      </w:pPr>
      <w:bookmarkStart w:id="0" w:name="_Toc2633_WPSOffice_Level1"/>
      <w:r>
        <w:rPr>
          <w:rFonts w:hint="eastAsia" w:ascii="Times New Roman" w:hAnsi="Times New Roman"/>
          <w:b/>
          <w:kern w:val="0"/>
          <w:sz w:val="44"/>
          <w:szCs w:val="44"/>
        </w:rPr>
        <w:t>泰州市检测机构综合</w:t>
      </w:r>
      <w:r>
        <w:rPr>
          <w:rFonts w:ascii="Times New Roman" w:hAnsi="Times New Roman"/>
          <w:b/>
          <w:kern w:val="0"/>
          <w:sz w:val="44"/>
          <w:szCs w:val="44"/>
        </w:rPr>
        <w:t>评价指标及分值</w:t>
      </w:r>
      <w:bookmarkEnd w:id="0"/>
      <w:r>
        <w:rPr>
          <w:rFonts w:hint="eastAsia" w:ascii="Times New Roman" w:hAnsi="Times New Roman"/>
          <w:b/>
          <w:kern w:val="0"/>
          <w:sz w:val="44"/>
          <w:szCs w:val="44"/>
        </w:rPr>
        <w:t>表</w:t>
      </w:r>
    </w:p>
    <w:tbl>
      <w:tblPr>
        <w:tblStyle w:val="5"/>
        <w:tblW w:w="14190" w:type="dxa"/>
        <w:tblInd w:w="0" w:type="dxa"/>
        <w:tblLayout w:type="fixed"/>
        <w:tblCellMar>
          <w:top w:w="0" w:type="dxa"/>
          <w:left w:w="0" w:type="dxa"/>
          <w:bottom w:w="0" w:type="dxa"/>
          <w:right w:w="0" w:type="dxa"/>
        </w:tblCellMar>
      </w:tblPr>
      <w:tblGrid>
        <w:gridCol w:w="963"/>
        <w:gridCol w:w="610"/>
        <w:gridCol w:w="2263"/>
        <w:gridCol w:w="7"/>
        <w:gridCol w:w="982"/>
        <w:gridCol w:w="3960"/>
        <w:gridCol w:w="19"/>
        <w:gridCol w:w="1276"/>
        <w:gridCol w:w="1701"/>
        <w:gridCol w:w="2409"/>
      </w:tblGrid>
      <w:tr>
        <w:tblPrEx>
          <w:tblCellMar>
            <w:top w:w="0" w:type="dxa"/>
            <w:left w:w="0" w:type="dxa"/>
            <w:bottom w:w="0" w:type="dxa"/>
            <w:right w:w="0" w:type="dxa"/>
          </w:tblCellMar>
        </w:tblPrEx>
        <w:trPr>
          <w:trHeight w:val="495" w:hRule="atLeast"/>
          <w:tblHeader/>
        </w:trPr>
        <w:tc>
          <w:tcPr>
            <w:tcW w:w="9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szCs w:val="21"/>
              </w:rPr>
              <w:t>要求</w:t>
            </w:r>
          </w:p>
        </w:tc>
        <w:tc>
          <w:tcPr>
            <w:tcW w:w="6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rPr>
              <w:t>序号</w:t>
            </w:r>
          </w:p>
        </w:tc>
        <w:tc>
          <w:tcPr>
            <w:tcW w:w="22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评价</w:t>
            </w:r>
            <w:r>
              <w:rPr>
                <w:rFonts w:ascii="Times New Roman" w:hAnsi="Times New Roman"/>
                <w:kern w:val="0"/>
                <w:szCs w:val="21"/>
              </w:rPr>
              <w:t>项目</w:t>
            </w: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rPr>
              <w:t>分值</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评价</w:t>
            </w:r>
            <w:r>
              <w:rPr>
                <w:rFonts w:ascii="Times New Roman" w:hAnsi="Times New Roman"/>
                <w:kern w:val="0"/>
                <w:szCs w:val="21"/>
              </w:rPr>
              <w:t>要点</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ascii="Times New Roman" w:hAnsi="Times New Roman"/>
                <w:kern w:val="0"/>
                <w:szCs w:val="21"/>
              </w:rPr>
              <w:t>计分标准</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自评得分</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扣分（加分）说明</w:t>
            </w:r>
          </w:p>
        </w:tc>
      </w:tr>
      <w:tr>
        <w:tblPrEx>
          <w:tblCellMar>
            <w:top w:w="0" w:type="dxa"/>
            <w:left w:w="0" w:type="dxa"/>
            <w:bottom w:w="0" w:type="dxa"/>
            <w:right w:w="0" w:type="dxa"/>
          </w:tblCellMar>
        </w:tblPrEx>
        <w:trPr>
          <w:trHeight w:val="389" w:hRule="atLeast"/>
        </w:trPr>
        <w:tc>
          <w:tcPr>
            <w:tcW w:w="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基本</w:t>
            </w:r>
            <w:r>
              <w:rPr>
                <w:rFonts w:ascii="Times New Roman" w:hAnsi="Times New Roman"/>
                <w:kern w:val="0"/>
                <w:szCs w:val="21"/>
              </w:rPr>
              <w:t>要求</w:t>
            </w:r>
            <w:r>
              <w:rPr>
                <w:rFonts w:hint="eastAsia" w:ascii="Times New Roman" w:hAnsi="Times New Roman"/>
                <w:kern w:val="0"/>
                <w:szCs w:val="21"/>
              </w:rPr>
              <w:t>（34分）</w:t>
            </w:r>
          </w:p>
        </w:tc>
        <w:tc>
          <w:tcPr>
            <w:tcW w:w="61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1</w:t>
            </w:r>
          </w:p>
        </w:tc>
        <w:tc>
          <w:tcPr>
            <w:tcW w:w="22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成立年限</w:t>
            </w:r>
          </w:p>
          <w:p>
            <w:pPr>
              <w:widowControl/>
              <w:jc w:val="center"/>
              <w:textAlignment w:val="center"/>
              <w:rPr>
                <w:rFonts w:ascii="Times New Roman" w:hAnsi="Times New Roman"/>
                <w:kern w:val="0"/>
                <w:szCs w:val="21"/>
              </w:rPr>
            </w:pPr>
            <w:r>
              <w:rPr>
                <w:rFonts w:hint="eastAsia" w:ascii="Times New Roman" w:hAnsi="Times New Roman"/>
                <w:kern w:val="0"/>
                <w:szCs w:val="21"/>
              </w:rPr>
              <w:t>（自初次取得省住建厅资质起算至发布评价通知日，按周年计算）</w:t>
            </w:r>
          </w:p>
        </w:tc>
        <w:tc>
          <w:tcPr>
            <w:tcW w:w="989"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5</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0" w:lineRule="atLeast"/>
              <w:textAlignment w:val="center"/>
              <w:rPr>
                <w:rFonts w:ascii="Times New Roman" w:hAnsi="Times New Roman"/>
                <w:kern w:val="0"/>
                <w:szCs w:val="21"/>
              </w:rPr>
            </w:pPr>
            <w:r>
              <w:rPr>
                <w:rFonts w:hint="eastAsia" w:ascii="Times New Roman" w:hAnsi="Times New Roman"/>
                <w:kern w:val="0"/>
                <w:szCs w:val="21"/>
              </w:rPr>
              <w:t>15年（含）以上。</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得5分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r>
      <w:tr>
        <w:tblPrEx>
          <w:tblCellMar>
            <w:top w:w="0" w:type="dxa"/>
            <w:left w:w="0" w:type="dxa"/>
            <w:bottom w:w="0" w:type="dxa"/>
            <w:right w:w="0" w:type="dxa"/>
          </w:tblCellMar>
        </w:tblPrEx>
        <w:trPr>
          <w:trHeight w:val="40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0" w:lineRule="atLeast"/>
              <w:textAlignment w:val="center"/>
              <w:rPr>
                <w:rFonts w:ascii="Times New Roman" w:hAnsi="Times New Roman"/>
                <w:kern w:val="0"/>
                <w:szCs w:val="21"/>
              </w:rPr>
            </w:pPr>
            <w:r>
              <w:rPr>
                <w:rFonts w:hint="eastAsia" w:ascii="Times New Roman" w:hAnsi="Times New Roman"/>
                <w:kern w:val="0"/>
                <w:szCs w:val="21"/>
              </w:rPr>
              <w:t>1</w:t>
            </w:r>
            <w:r>
              <w:rPr>
                <w:rFonts w:ascii="Times New Roman" w:hAnsi="Times New Roman"/>
                <w:kern w:val="0"/>
                <w:szCs w:val="21"/>
              </w:rPr>
              <w:t>0</w:t>
            </w:r>
            <w:r>
              <w:rPr>
                <w:rFonts w:hint="eastAsia" w:ascii="Times New Roman" w:hAnsi="Times New Roman"/>
                <w:kern w:val="0"/>
                <w:szCs w:val="21"/>
              </w:rPr>
              <w:t>年（含）至14年。</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得4分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r>
      <w:tr>
        <w:tblPrEx>
          <w:tblCellMar>
            <w:top w:w="0" w:type="dxa"/>
            <w:left w:w="0" w:type="dxa"/>
            <w:bottom w:w="0" w:type="dxa"/>
            <w:right w:w="0" w:type="dxa"/>
          </w:tblCellMar>
        </w:tblPrEx>
        <w:trPr>
          <w:trHeight w:val="429"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0" w:lineRule="atLeast"/>
              <w:textAlignment w:val="center"/>
              <w:rPr>
                <w:rFonts w:ascii="Times New Roman" w:hAnsi="Times New Roman"/>
                <w:kern w:val="0"/>
                <w:szCs w:val="21"/>
              </w:rPr>
            </w:pPr>
            <w:r>
              <w:rPr>
                <w:rFonts w:hint="eastAsia" w:ascii="Times New Roman" w:hAnsi="Times New Roman"/>
                <w:kern w:val="0"/>
                <w:szCs w:val="21"/>
              </w:rPr>
              <w:t>3年（含）至9年。</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得3分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r>
      <w:tr>
        <w:tblPrEx>
          <w:tblCellMar>
            <w:top w:w="0" w:type="dxa"/>
            <w:left w:w="0" w:type="dxa"/>
            <w:bottom w:w="0" w:type="dxa"/>
            <w:right w:w="0" w:type="dxa"/>
          </w:tblCellMar>
        </w:tblPrEx>
        <w:trPr>
          <w:trHeight w:val="416"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0" w:lineRule="atLeast"/>
              <w:textAlignment w:val="center"/>
              <w:rPr>
                <w:rFonts w:ascii="Times New Roman" w:hAnsi="Times New Roman"/>
                <w:kern w:val="0"/>
                <w:szCs w:val="21"/>
              </w:rPr>
            </w:pPr>
            <w:r>
              <w:rPr>
                <w:rFonts w:hint="eastAsia" w:ascii="Times New Roman" w:hAnsi="Times New Roman"/>
                <w:kern w:val="0"/>
                <w:szCs w:val="21"/>
              </w:rPr>
              <w:t>3年以下。</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得2分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2</w:t>
            </w:r>
          </w:p>
        </w:tc>
        <w:tc>
          <w:tcPr>
            <w:tcW w:w="22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人力资源</w:t>
            </w:r>
          </w:p>
          <w:p>
            <w:pPr>
              <w:widowControl/>
              <w:jc w:val="center"/>
              <w:textAlignment w:val="center"/>
              <w:rPr>
                <w:rFonts w:ascii="Times New Roman" w:hAnsi="Times New Roman"/>
                <w:kern w:val="0"/>
                <w:szCs w:val="21"/>
              </w:rPr>
            </w:pPr>
            <w:r>
              <w:rPr>
                <w:rFonts w:hint="eastAsia" w:ascii="Times New Roman" w:hAnsi="Times New Roman"/>
                <w:kern w:val="0"/>
                <w:szCs w:val="21"/>
              </w:rPr>
              <w:t>（持注册岩土工程师证、注册结构工程师证、本地区认可的工程检测类能力评价证书的人员）</w:t>
            </w:r>
          </w:p>
        </w:tc>
        <w:tc>
          <w:tcPr>
            <w:tcW w:w="989"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8</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0" w:lineRule="atLeast"/>
              <w:textAlignment w:val="center"/>
              <w:rPr>
                <w:rFonts w:ascii="Times New Roman" w:hAnsi="Times New Roman"/>
                <w:kern w:val="0"/>
                <w:szCs w:val="21"/>
              </w:rPr>
            </w:pPr>
            <w:r>
              <w:rPr>
                <w:rFonts w:hint="eastAsia" w:ascii="Times New Roman" w:hAnsi="Times New Roman"/>
                <w:kern w:val="0"/>
                <w:szCs w:val="21"/>
              </w:rPr>
              <w:t>总持证人数在50人（含）以上。</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得</w:t>
            </w:r>
            <w:r>
              <w:rPr>
                <w:rFonts w:ascii="Times New Roman" w:hAnsi="Times New Roman"/>
                <w:kern w:val="0"/>
                <w:szCs w:val="21"/>
              </w:rPr>
              <w:t>8</w:t>
            </w:r>
            <w:r>
              <w:rPr>
                <w:rFonts w:hint="eastAsia" w:ascii="Times New Roman" w:hAnsi="Times New Roman"/>
                <w:kern w:val="0"/>
                <w:szCs w:val="21"/>
              </w:rPr>
              <w:t>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0" w:lineRule="atLeast"/>
              <w:textAlignment w:val="center"/>
              <w:rPr>
                <w:rFonts w:ascii="Times New Roman" w:hAnsi="Times New Roman"/>
                <w:kern w:val="0"/>
                <w:szCs w:val="21"/>
              </w:rPr>
            </w:pPr>
            <w:r>
              <w:rPr>
                <w:rFonts w:hint="eastAsia" w:ascii="Times New Roman" w:hAnsi="Times New Roman"/>
                <w:kern w:val="0"/>
                <w:szCs w:val="21"/>
              </w:rPr>
              <w:t>总持证人数在49人以下30人以上。</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得5分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0" w:lineRule="atLeast"/>
              <w:textAlignment w:val="center"/>
              <w:rPr>
                <w:rFonts w:ascii="Times New Roman" w:hAnsi="Times New Roman"/>
                <w:kern w:val="0"/>
                <w:szCs w:val="21"/>
              </w:rPr>
            </w:pPr>
            <w:r>
              <w:rPr>
                <w:rFonts w:hint="eastAsia" w:ascii="Times New Roman" w:hAnsi="Times New Roman"/>
                <w:kern w:val="0"/>
                <w:szCs w:val="21"/>
              </w:rPr>
              <w:t>总持证人数在30人（含）以下15人（含）以上。</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得</w:t>
            </w:r>
            <w:r>
              <w:rPr>
                <w:rFonts w:ascii="Times New Roman" w:hAnsi="Times New Roman"/>
                <w:kern w:val="0"/>
                <w:szCs w:val="21"/>
              </w:rPr>
              <w:t>3</w:t>
            </w:r>
            <w:r>
              <w:rPr>
                <w:rFonts w:hint="eastAsia" w:ascii="Times New Roman" w:hAnsi="Times New Roman"/>
                <w:kern w:val="0"/>
                <w:szCs w:val="21"/>
              </w:rPr>
              <w:t>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0" w:lineRule="atLeast"/>
              <w:textAlignment w:val="center"/>
              <w:rPr>
                <w:rFonts w:ascii="Times New Roman" w:hAnsi="Times New Roman"/>
                <w:kern w:val="0"/>
                <w:szCs w:val="21"/>
              </w:rPr>
            </w:pPr>
            <w:r>
              <w:rPr>
                <w:rFonts w:hint="eastAsia" w:ascii="Times New Roman" w:hAnsi="Times New Roman"/>
                <w:kern w:val="0"/>
                <w:szCs w:val="21"/>
              </w:rPr>
              <w:t>总持证人数在15人以下。</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得1分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r>
      <w:tr>
        <w:tblPrEx>
          <w:tblCellMar>
            <w:top w:w="0" w:type="dxa"/>
            <w:left w:w="0" w:type="dxa"/>
            <w:bottom w:w="0" w:type="dxa"/>
            <w:right w:w="0" w:type="dxa"/>
          </w:tblCellMar>
        </w:tblPrEx>
        <w:trPr>
          <w:trHeight w:val="541"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8</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20" w:lineRule="exact"/>
              <w:rPr>
                <w:rFonts w:ascii="Times New Roman" w:hAnsi="Times New Roman"/>
                <w:kern w:val="0"/>
                <w:szCs w:val="21"/>
              </w:rPr>
            </w:pPr>
            <w:r>
              <w:rPr>
                <w:rFonts w:hint="eastAsia" w:ascii="Times New Roman" w:hAnsi="Times New Roman"/>
                <w:kern w:val="0"/>
                <w:szCs w:val="21"/>
              </w:rPr>
              <w:t>持证人员具有高级技术职称的人数在8人（含）以上，且具有中级以上技术职称总人数在10人（含）以上。</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得</w:t>
            </w:r>
            <w:r>
              <w:rPr>
                <w:rFonts w:ascii="Times New Roman" w:hAnsi="Times New Roman"/>
                <w:kern w:val="0"/>
                <w:szCs w:val="21"/>
              </w:rPr>
              <w:t>8</w:t>
            </w:r>
            <w:r>
              <w:rPr>
                <w:rFonts w:hint="eastAsia" w:ascii="Times New Roman" w:hAnsi="Times New Roman"/>
                <w:kern w:val="0"/>
                <w:szCs w:val="21"/>
              </w:rPr>
              <w:t>分</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r>
      <w:tr>
        <w:tblPrEx>
          <w:tblCellMar>
            <w:top w:w="0" w:type="dxa"/>
            <w:left w:w="0" w:type="dxa"/>
            <w:bottom w:w="0" w:type="dxa"/>
            <w:right w:w="0" w:type="dxa"/>
          </w:tblCellMar>
        </w:tblPrEx>
        <w:trPr>
          <w:trHeight w:val="529"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20" w:lineRule="exact"/>
              <w:rPr>
                <w:rFonts w:ascii="Times New Roman" w:hAnsi="Times New Roman"/>
                <w:kern w:val="0"/>
                <w:szCs w:val="21"/>
              </w:rPr>
            </w:pPr>
            <w:r>
              <w:rPr>
                <w:rFonts w:hint="eastAsia" w:ascii="Times New Roman" w:hAnsi="Times New Roman"/>
                <w:kern w:val="0"/>
                <w:szCs w:val="21"/>
              </w:rPr>
              <w:t>持证人员具有高级技术职称的人数在5人（含）以上，且具有中级以上技术职称总人数在8人（含）以上。</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得5分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r>
      <w:tr>
        <w:tblPrEx>
          <w:tblCellMar>
            <w:top w:w="0" w:type="dxa"/>
            <w:left w:w="0" w:type="dxa"/>
            <w:bottom w:w="0" w:type="dxa"/>
            <w:right w:w="0" w:type="dxa"/>
          </w:tblCellMar>
        </w:tblPrEx>
        <w:trPr>
          <w:trHeight w:val="554" w:hRule="atLeast"/>
        </w:trPr>
        <w:tc>
          <w:tcPr>
            <w:tcW w:w="96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20" w:lineRule="exact"/>
              <w:rPr>
                <w:rFonts w:ascii="Times New Roman" w:hAnsi="Times New Roman"/>
                <w:kern w:val="0"/>
                <w:szCs w:val="21"/>
              </w:rPr>
            </w:pPr>
            <w:r>
              <w:rPr>
                <w:rFonts w:hint="eastAsia" w:ascii="Times New Roman" w:hAnsi="Times New Roman"/>
                <w:kern w:val="0"/>
                <w:szCs w:val="21"/>
              </w:rPr>
              <w:t>持证人员具有高级技术职称的人数在3人（含）以上，或具有中级以上技术职称总人数在8人（含）以上。</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得</w:t>
            </w:r>
            <w:r>
              <w:rPr>
                <w:rFonts w:ascii="Times New Roman" w:hAnsi="Times New Roman"/>
                <w:kern w:val="0"/>
                <w:szCs w:val="21"/>
              </w:rPr>
              <w:t>3</w:t>
            </w:r>
            <w:r>
              <w:rPr>
                <w:rFonts w:hint="eastAsia" w:ascii="Times New Roman" w:hAnsi="Times New Roman"/>
                <w:kern w:val="0"/>
                <w:szCs w:val="21"/>
              </w:rPr>
              <w:t>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r>
      <w:tr>
        <w:tblPrEx>
          <w:tblCellMar>
            <w:top w:w="0" w:type="dxa"/>
            <w:left w:w="0" w:type="dxa"/>
            <w:bottom w:w="0" w:type="dxa"/>
            <w:right w:w="0" w:type="dxa"/>
          </w:tblCellMar>
        </w:tblPrEx>
        <w:trPr>
          <w:trHeight w:val="492" w:hRule="atLeast"/>
        </w:trPr>
        <w:tc>
          <w:tcPr>
            <w:tcW w:w="96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20" w:lineRule="exact"/>
              <w:rPr>
                <w:rFonts w:ascii="Times New Roman" w:hAnsi="Times New Roman"/>
                <w:kern w:val="0"/>
                <w:szCs w:val="21"/>
              </w:rPr>
            </w:pPr>
            <w:r>
              <w:rPr>
                <w:rFonts w:hint="eastAsia" w:ascii="Times New Roman" w:hAnsi="Times New Roman"/>
                <w:kern w:val="0"/>
                <w:szCs w:val="21"/>
              </w:rPr>
              <w:t>持证人员具有高级技术职称的人数在2人（含）以上，或具有中级以上技术职称总人数在5人以下。</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得2分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r>
      <w:tr>
        <w:tblPrEx>
          <w:tblCellMar>
            <w:top w:w="0" w:type="dxa"/>
            <w:left w:w="0" w:type="dxa"/>
            <w:bottom w:w="0" w:type="dxa"/>
            <w:right w:w="0" w:type="dxa"/>
          </w:tblCellMar>
        </w:tblPrEx>
        <w:trPr>
          <w:trHeight w:val="454" w:hRule="atLeast"/>
        </w:trPr>
        <w:tc>
          <w:tcPr>
            <w:tcW w:w="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textAlignment w:val="center"/>
              <w:rPr>
                <w:rFonts w:ascii="Times New Roman" w:hAnsi="Times New Roman"/>
                <w:kern w:val="0"/>
                <w:szCs w:val="21"/>
              </w:rPr>
            </w:pPr>
          </w:p>
        </w:tc>
        <w:tc>
          <w:tcPr>
            <w:tcW w:w="61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3</w:t>
            </w:r>
          </w:p>
        </w:tc>
        <w:tc>
          <w:tcPr>
            <w:tcW w:w="22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检测场所面积</w:t>
            </w:r>
          </w:p>
          <w:p>
            <w:pPr>
              <w:widowControl/>
              <w:jc w:val="center"/>
              <w:textAlignment w:val="center"/>
              <w:rPr>
                <w:rFonts w:ascii="Times New Roman" w:hAnsi="Times New Roman"/>
                <w:kern w:val="0"/>
                <w:szCs w:val="21"/>
              </w:rPr>
            </w:pPr>
            <w:r>
              <w:rPr>
                <w:rFonts w:hint="eastAsia" w:ascii="Times New Roman" w:hAnsi="Times New Roman"/>
                <w:kern w:val="0"/>
                <w:szCs w:val="21"/>
              </w:rPr>
              <w:t>（按产权证或租赁合同计算）</w:t>
            </w:r>
          </w:p>
        </w:tc>
        <w:tc>
          <w:tcPr>
            <w:tcW w:w="989"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5</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textAlignment w:val="center"/>
              <w:rPr>
                <w:rFonts w:ascii="Times New Roman" w:hAnsi="Times New Roman"/>
                <w:kern w:val="0"/>
                <w:szCs w:val="21"/>
              </w:rPr>
            </w:pPr>
            <w:r>
              <w:rPr>
                <w:rFonts w:hint="eastAsia" w:ascii="Times New Roman" w:hAnsi="Times New Roman"/>
                <w:kern w:val="0"/>
                <w:szCs w:val="21"/>
              </w:rPr>
              <w:t>6000m2（含）以上。</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center"/>
              <w:rPr>
                <w:rFonts w:ascii="Times New Roman" w:hAnsi="Times New Roman"/>
                <w:kern w:val="0"/>
                <w:szCs w:val="21"/>
              </w:rPr>
            </w:pPr>
            <w:r>
              <w:rPr>
                <w:rFonts w:hint="eastAsia" w:ascii="Times New Roman" w:hAnsi="Times New Roman"/>
                <w:kern w:val="0"/>
                <w:szCs w:val="21"/>
              </w:rPr>
              <w:t>得5分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rFonts w:ascii="Times New Roman" w:hAnsi="Times New Roman"/>
                <w:kern w:val="0"/>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rFonts w:ascii="Times New Roman" w:hAnsi="Times New Roman"/>
                <w:kern w:val="0"/>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textAlignment w:val="center"/>
              <w:rPr>
                <w:rFonts w:ascii="Times New Roman" w:hAnsi="Times New Roman"/>
                <w:kern w:val="0"/>
                <w:szCs w:val="21"/>
              </w:rPr>
            </w:pPr>
            <w:r>
              <w:rPr>
                <w:rFonts w:hint="eastAsia" w:ascii="Times New Roman" w:hAnsi="Times New Roman"/>
                <w:kern w:val="0"/>
                <w:szCs w:val="21"/>
              </w:rPr>
              <w:t>3500m2（含）至6000m2。</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center"/>
              <w:rPr>
                <w:rFonts w:ascii="Times New Roman" w:hAnsi="Times New Roman"/>
                <w:kern w:val="0"/>
                <w:szCs w:val="21"/>
              </w:rPr>
            </w:pPr>
            <w:r>
              <w:rPr>
                <w:rFonts w:hint="eastAsia" w:ascii="Times New Roman" w:hAnsi="Times New Roman"/>
                <w:kern w:val="0"/>
                <w:szCs w:val="21"/>
              </w:rPr>
              <w:t>得4分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rFonts w:ascii="Times New Roman" w:hAnsi="Times New Roman"/>
                <w:kern w:val="0"/>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rFonts w:ascii="Times New Roman" w:hAnsi="Times New Roman"/>
                <w:kern w:val="0"/>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jc w:val="center"/>
              <w:textAlignment w:val="center"/>
              <w:rPr>
                <w:rFonts w:ascii="Times New Roman" w:hAnsi="Times New Roman"/>
                <w:kern w:val="0"/>
                <w:szCs w:val="21"/>
              </w:rPr>
            </w:pPr>
          </w:p>
        </w:tc>
        <w:tc>
          <w:tcPr>
            <w:tcW w:w="61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textAlignment w:val="center"/>
              <w:rPr>
                <w:rFonts w:ascii="Times New Roman" w:hAnsi="Times New Roman"/>
                <w:kern w:val="0"/>
                <w:szCs w:val="21"/>
              </w:rPr>
            </w:pPr>
            <w:r>
              <w:rPr>
                <w:rFonts w:hint="eastAsia" w:ascii="Times New Roman" w:hAnsi="Times New Roman"/>
                <w:kern w:val="0"/>
                <w:szCs w:val="21"/>
              </w:rPr>
              <w:t>1000m2（含）至3500m2。</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center"/>
              <w:rPr>
                <w:rFonts w:ascii="Times New Roman" w:hAnsi="Times New Roman"/>
                <w:kern w:val="0"/>
                <w:szCs w:val="21"/>
              </w:rPr>
            </w:pPr>
            <w:r>
              <w:rPr>
                <w:rFonts w:hint="eastAsia" w:ascii="Times New Roman" w:hAnsi="Times New Roman"/>
                <w:kern w:val="0"/>
                <w:szCs w:val="21"/>
              </w:rPr>
              <w:t>得3分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rFonts w:ascii="Times New Roman" w:hAnsi="Times New Roman"/>
                <w:kern w:val="0"/>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rFonts w:ascii="Times New Roman" w:hAnsi="Times New Roman"/>
                <w:kern w:val="0"/>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jc w:val="center"/>
              <w:textAlignment w:val="center"/>
              <w:rPr>
                <w:rFonts w:ascii="Times New Roman" w:hAnsi="Times New Roman"/>
                <w:kern w:val="0"/>
                <w:szCs w:val="21"/>
              </w:rPr>
            </w:pPr>
          </w:p>
        </w:tc>
        <w:tc>
          <w:tcPr>
            <w:tcW w:w="61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textAlignment w:val="center"/>
              <w:rPr>
                <w:rFonts w:ascii="Times New Roman" w:hAnsi="Times New Roman"/>
                <w:kern w:val="0"/>
                <w:szCs w:val="21"/>
              </w:rPr>
            </w:pPr>
            <w:r>
              <w:rPr>
                <w:rFonts w:hint="eastAsia" w:ascii="Times New Roman" w:hAnsi="Times New Roman"/>
                <w:kern w:val="0"/>
                <w:szCs w:val="21"/>
              </w:rPr>
              <w:t>小于1000m2。</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center"/>
              <w:rPr>
                <w:rFonts w:ascii="Times New Roman" w:hAnsi="Times New Roman"/>
                <w:kern w:val="0"/>
                <w:szCs w:val="21"/>
              </w:rPr>
            </w:pPr>
            <w:r>
              <w:rPr>
                <w:rFonts w:hint="eastAsia" w:ascii="Times New Roman" w:hAnsi="Times New Roman"/>
                <w:kern w:val="0"/>
                <w:szCs w:val="21"/>
              </w:rPr>
              <w:t>得1分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rFonts w:ascii="Times New Roman" w:hAnsi="Times New Roman"/>
                <w:kern w:val="0"/>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rFonts w:ascii="Times New Roman" w:hAnsi="Times New Roman"/>
                <w:kern w:val="0"/>
                <w:szCs w:val="21"/>
              </w:rPr>
            </w:pPr>
          </w:p>
        </w:tc>
      </w:tr>
      <w:tr>
        <w:tblPrEx>
          <w:tblCellMar>
            <w:top w:w="0" w:type="dxa"/>
            <w:left w:w="0" w:type="dxa"/>
            <w:bottom w:w="0" w:type="dxa"/>
            <w:right w:w="0" w:type="dxa"/>
          </w:tblCellMar>
        </w:tblPrEx>
        <w:trPr>
          <w:trHeight w:val="429"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jc w:val="center"/>
              <w:textAlignment w:val="center"/>
              <w:rPr>
                <w:rFonts w:ascii="Times New Roman" w:hAnsi="Times New Roman"/>
                <w:kern w:val="0"/>
                <w:szCs w:val="21"/>
              </w:rPr>
            </w:pPr>
          </w:p>
        </w:tc>
        <w:tc>
          <w:tcPr>
            <w:tcW w:w="610" w:type="dxa"/>
            <w:vMerge w:val="restart"/>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4</w:t>
            </w:r>
          </w:p>
        </w:tc>
        <w:tc>
          <w:tcPr>
            <w:tcW w:w="2263" w:type="dxa"/>
            <w:vMerge w:val="restart"/>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经营规模</w:t>
            </w:r>
          </w:p>
          <w:p>
            <w:pPr>
              <w:widowControl/>
              <w:jc w:val="center"/>
              <w:textAlignment w:val="center"/>
              <w:rPr>
                <w:rFonts w:ascii="Times New Roman" w:hAnsi="Times New Roman"/>
                <w:kern w:val="0"/>
                <w:szCs w:val="21"/>
              </w:rPr>
            </w:pPr>
            <w:r>
              <w:rPr>
                <w:rFonts w:hint="eastAsia" w:ascii="Times New Roman" w:hAnsi="Times New Roman"/>
                <w:kern w:val="0"/>
                <w:szCs w:val="21"/>
              </w:rPr>
              <w:t>（按开票额计年产值）</w:t>
            </w:r>
          </w:p>
        </w:tc>
        <w:tc>
          <w:tcPr>
            <w:tcW w:w="989" w:type="dxa"/>
            <w:gridSpan w:val="2"/>
            <w:vMerge w:val="restart"/>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8</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textAlignment w:val="center"/>
              <w:rPr>
                <w:rFonts w:ascii="Times New Roman" w:hAnsi="Times New Roman"/>
                <w:kern w:val="0"/>
                <w:szCs w:val="21"/>
              </w:rPr>
            </w:pPr>
            <w:r>
              <w:rPr>
                <w:rFonts w:hint="eastAsia" w:ascii="Times New Roman" w:hAnsi="Times New Roman"/>
                <w:kern w:val="0"/>
                <w:szCs w:val="21"/>
              </w:rPr>
              <w:t>20</w:t>
            </w:r>
            <w:r>
              <w:rPr>
                <w:rFonts w:ascii="Times New Roman" w:hAnsi="Times New Roman"/>
                <w:kern w:val="0"/>
                <w:szCs w:val="21"/>
              </w:rPr>
              <w:t>00</w:t>
            </w:r>
            <w:r>
              <w:rPr>
                <w:rFonts w:hint="eastAsia" w:ascii="Times New Roman" w:hAnsi="Times New Roman"/>
                <w:kern w:val="0"/>
                <w:szCs w:val="21"/>
              </w:rPr>
              <w:t>万元（含）以上。</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center"/>
              <w:rPr>
                <w:rFonts w:ascii="Times New Roman" w:hAnsi="Times New Roman"/>
                <w:kern w:val="0"/>
                <w:szCs w:val="21"/>
              </w:rPr>
            </w:pPr>
            <w:r>
              <w:rPr>
                <w:rFonts w:hint="eastAsia" w:ascii="Times New Roman" w:hAnsi="Times New Roman"/>
                <w:kern w:val="0"/>
                <w:szCs w:val="21"/>
              </w:rPr>
              <w:t>得8分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rFonts w:ascii="Times New Roman" w:hAnsi="Times New Roman"/>
                <w:kern w:val="0"/>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rFonts w:ascii="Times New Roman" w:hAnsi="Times New Roman"/>
                <w:kern w:val="0"/>
                <w:szCs w:val="21"/>
              </w:rPr>
            </w:pPr>
          </w:p>
        </w:tc>
      </w:tr>
      <w:tr>
        <w:tblPrEx>
          <w:tblCellMar>
            <w:top w:w="0" w:type="dxa"/>
            <w:left w:w="0" w:type="dxa"/>
            <w:bottom w:w="0" w:type="dxa"/>
            <w:right w:w="0" w:type="dxa"/>
          </w:tblCellMar>
        </w:tblPrEx>
        <w:trPr>
          <w:trHeight w:val="429"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textAlignment w:val="center"/>
              <w:rPr>
                <w:rFonts w:ascii="Times New Roman" w:hAnsi="Times New Roman"/>
                <w:kern w:val="0"/>
                <w:szCs w:val="21"/>
              </w:rPr>
            </w:pPr>
            <w:r>
              <w:rPr>
                <w:rFonts w:hint="eastAsia" w:ascii="Times New Roman" w:hAnsi="Times New Roman"/>
                <w:kern w:val="0"/>
                <w:szCs w:val="21"/>
              </w:rPr>
              <w:t>1000万元（含）至20</w:t>
            </w:r>
            <w:r>
              <w:rPr>
                <w:rFonts w:ascii="Times New Roman" w:hAnsi="Times New Roman"/>
                <w:kern w:val="0"/>
                <w:szCs w:val="21"/>
              </w:rPr>
              <w:t>00</w:t>
            </w:r>
            <w:r>
              <w:rPr>
                <w:rFonts w:hint="eastAsia" w:ascii="Times New Roman" w:hAnsi="Times New Roman"/>
                <w:kern w:val="0"/>
                <w:szCs w:val="21"/>
              </w:rPr>
              <w:t>万元。</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center"/>
              <w:rPr>
                <w:rFonts w:ascii="Times New Roman" w:hAnsi="Times New Roman"/>
                <w:kern w:val="0"/>
                <w:szCs w:val="21"/>
              </w:rPr>
            </w:pPr>
            <w:r>
              <w:rPr>
                <w:rFonts w:hint="eastAsia" w:ascii="Times New Roman" w:hAnsi="Times New Roman"/>
                <w:kern w:val="0"/>
                <w:szCs w:val="21"/>
              </w:rPr>
              <w:t>得5分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rFonts w:ascii="Times New Roman" w:hAnsi="Times New Roman"/>
                <w:kern w:val="0"/>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rFonts w:ascii="Times New Roman" w:hAnsi="Times New Roman"/>
                <w:kern w:val="0"/>
                <w:szCs w:val="21"/>
              </w:rPr>
            </w:pPr>
          </w:p>
        </w:tc>
      </w:tr>
      <w:tr>
        <w:tblPrEx>
          <w:tblCellMar>
            <w:top w:w="0" w:type="dxa"/>
            <w:left w:w="0" w:type="dxa"/>
            <w:bottom w:w="0" w:type="dxa"/>
            <w:right w:w="0" w:type="dxa"/>
          </w:tblCellMar>
        </w:tblPrEx>
        <w:trPr>
          <w:trHeight w:val="429"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textAlignment w:val="center"/>
              <w:rPr>
                <w:rFonts w:ascii="Times New Roman" w:hAnsi="Times New Roman"/>
                <w:kern w:val="0"/>
                <w:szCs w:val="21"/>
              </w:rPr>
            </w:pPr>
            <w:r>
              <w:rPr>
                <w:rFonts w:ascii="Times New Roman" w:hAnsi="Times New Roman"/>
                <w:kern w:val="0"/>
                <w:szCs w:val="21"/>
              </w:rPr>
              <w:t>400</w:t>
            </w:r>
            <w:r>
              <w:rPr>
                <w:rFonts w:hint="eastAsia" w:ascii="Times New Roman" w:hAnsi="Times New Roman"/>
                <w:kern w:val="0"/>
                <w:szCs w:val="21"/>
              </w:rPr>
              <w:t>万元（含）至1000万元。</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center"/>
              <w:rPr>
                <w:rFonts w:ascii="Times New Roman" w:hAnsi="Times New Roman"/>
                <w:kern w:val="0"/>
                <w:szCs w:val="21"/>
              </w:rPr>
            </w:pPr>
            <w:r>
              <w:rPr>
                <w:rFonts w:hint="eastAsia" w:ascii="Times New Roman" w:hAnsi="Times New Roman"/>
                <w:kern w:val="0"/>
                <w:szCs w:val="21"/>
              </w:rPr>
              <w:t>得</w:t>
            </w:r>
            <w:r>
              <w:rPr>
                <w:rFonts w:ascii="Times New Roman" w:hAnsi="Times New Roman"/>
                <w:kern w:val="0"/>
                <w:szCs w:val="21"/>
              </w:rPr>
              <w:t>3</w:t>
            </w:r>
            <w:r>
              <w:rPr>
                <w:rFonts w:hint="eastAsia" w:ascii="Times New Roman" w:hAnsi="Times New Roman"/>
                <w:kern w:val="0"/>
                <w:szCs w:val="21"/>
              </w:rPr>
              <w:t>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rFonts w:ascii="Times New Roman" w:hAnsi="Times New Roman"/>
                <w:kern w:val="0"/>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rFonts w:ascii="Times New Roman" w:hAnsi="Times New Roman"/>
                <w:kern w:val="0"/>
                <w:szCs w:val="21"/>
              </w:rPr>
            </w:pPr>
          </w:p>
        </w:tc>
      </w:tr>
      <w:tr>
        <w:tblPrEx>
          <w:tblCellMar>
            <w:top w:w="0" w:type="dxa"/>
            <w:left w:w="0" w:type="dxa"/>
            <w:bottom w:w="0" w:type="dxa"/>
            <w:right w:w="0" w:type="dxa"/>
          </w:tblCellMar>
        </w:tblPrEx>
        <w:trPr>
          <w:trHeight w:val="431" w:hRule="atLeast"/>
        </w:trPr>
        <w:tc>
          <w:tcPr>
            <w:tcW w:w="96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Times New Roman" w:hAnsi="Times New Roman"/>
                <w:kern w:val="0"/>
                <w:szCs w:val="21"/>
              </w:rPr>
            </w:pPr>
          </w:p>
        </w:tc>
        <w:tc>
          <w:tcPr>
            <w:tcW w:w="61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textAlignment w:val="center"/>
              <w:rPr>
                <w:rFonts w:ascii="Times New Roman" w:hAnsi="Times New Roman"/>
                <w:kern w:val="0"/>
                <w:szCs w:val="21"/>
              </w:rPr>
            </w:pPr>
            <w:r>
              <w:rPr>
                <w:rFonts w:ascii="Times New Roman" w:hAnsi="Times New Roman"/>
                <w:kern w:val="0"/>
                <w:szCs w:val="21"/>
              </w:rPr>
              <w:t>400</w:t>
            </w:r>
            <w:r>
              <w:rPr>
                <w:rFonts w:hint="eastAsia" w:ascii="Times New Roman" w:hAnsi="Times New Roman"/>
                <w:kern w:val="0"/>
                <w:szCs w:val="21"/>
              </w:rPr>
              <w:t>万元以下。</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center"/>
              <w:rPr>
                <w:rFonts w:ascii="Times New Roman" w:hAnsi="Times New Roman"/>
                <w:kern w:val="0"/>
                <w:szCs w:val="21"/>
              </w:rPr>
            </w:pPr>
            <w:r>
              <w:rPr>
                <w:rFonts w:hint="eastAsia" w:ascii="Times New Roman" w:hAnsi="Times New Roman"/>
                <w:kern w:val="0"/>
                <w:szCs w:val="21"/>
              </w:rPr>
              <w:t>得1分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rFonts w:ascii="Times New Roman" w:hAnsi="Times New Roman"/>
                <w:kern w:val="0"/>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rFonts w:ascii="Times New Roman" w:hAnsi="Times New Roman"/>
                <w:kern w:val="0"/>
                <w:szCs w:val="21"/>
              </w:rPr>
            </w:pPr>
          </w:p>
        </w:tc>
      </w:tr>
      <w:tr>
        <w:tblPrEx>
          <w:tblCellMar>
            <w:top w:w="0" w:type="dxa"/>
            <w:left w:w="0" w:type="dxa"/>
            <w:bottom w:w="0" w:type="dxa"/>
            <w:right w:w="0" w:type="dxa"/>
          </w:tblCellMar>
        </w:tblPrEx>
        <w:trPr>
          <w:trHeight w:val="454" w:hRule="atLeast"/>
        </w:trPr>
        <w:tc>
          <w:tcPr>
            <w:tcW w:w="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管理要求（30分）</w:t>
            </w:r>
          </w:p>
        </w:tc>
        <w:tc>
          <w:tcPr>
            <w:tcW w:w="61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5</w:t>
            </w:r>
          </w:p>
        </w:tc>
        <w:tc>
          <w:tcPr>
            <w:tcW w:w="22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资质</w:t>
            </w:r>
          </w:p>
          <w:p>
            <w:pPr>
              <w:widowControl/>
              <w:jc w:val="center"/>
              <w:textAlignment w:val="center"/>
              <w:rPr>
                <w:rFonts w:ascii="Times New Roman" w:hAnsi="Times New Roman"/>
                <w:kern w:val="0"/>
                <w:szCs w:val="21"/>
              </w:rPr>
            </w:pPr>
            <w:r>
              <w:rPr>
                <w:rFonts w:hint="eastAsia" w:ascii="Times New Roman" w:hAnsi="Times New Roman"/>
                <w:kern w:val="0"/>
                <w:szCs w:val="21"/>
              </w:rPr>
              <w:t>（资质大类见备注3）</w:t>
            </w:r>
          </w:p>
        </w:tc>
        <w:tc>
          <w:tcPr>
            <w:tcW w:w="989"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2</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20" w:lineRule="exact"/>
              <w:textAlignment w:val="center"/>
              <w:rPr>
                <w:rFonts w:ascii="Times New Roman" w:hAnsi="Times New Roman"/>
                <w:kern w:val="0"/>
                <w:szCs w:val="21"/>
              </w:rPr>
            </w:pPr>
            <w:r>
              <w:rPr>
                <w:rFonts w:hint="eastAsia" w:ascii="Times New Roman" w:hAnsi="Times New Roman"/>
                <w:kern w:val="0"/>
                <w:szCs w:val="21"/>
              </w:rPr>
              <w:t>具有独立法人资格。</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Times New Roman" w:hAnsi="Times New Roman"/>
                <w:kern w:val="0"/>
                <w:szCs w:val="21"/>
              </w:rPr>
            </w:pPr>
            <w:r>
              <w:rPr>
                <w:rFonts w:hint="eastAsia" w:ascii="Times New Roman" w:hAnsi="Times New Roman"/>
                <w:kern w:val="0"/>
                <w:szCs w:val="21"/>
              </w:rPr>
              <w:t>得1分，否则不得分。</w:t>
            </w:r>
          </w:p>
        </w:tc>
        <w:tc>
          <w:tcPr>
            <w:tcW w:w="1701" w:type="dxa"/>
            <w:tcBorders>
              <w:top w:val="single" w:color="auto" w:sz="4" w:space="0"/>
              <w:left w:val="single" w:color="auto" w:sz="4" w:space="0"/>
              <w:bottom w:val="single" w:color="auto" w:sz="4" w:space="0"/>
              <w:right w:val="single" w:color="auto" w:sz="4" w:space="0"/>
            </w:tcBorders>
          </w:tcPr>
          <w:p>
            <w:pPr>
              <w:widowControl/>
              <w:textAlignment w:val="center"/>
              <w:rPr>
                <w:rFonts w:ascii="Times New Roman" w:hAnsi="Times New Roman"/>
                <w:kern w:val="0"/>
                <w:szCs w:val="21"/>
              </w:rPr>
            </w:pPr>
          </w:p>
        </w:tc>
        <w:tc>
          <w:tcPr>
            <w:tcW w:w="2409" w:type="dxa"/>
            <w:tcBorders>
              <w:top w:val="single" w:color="auto" w:sz="4" w:space="0"/>
              <w:left w:val="single" w:color="auto" w:sz="4" w:space="0"/>
              <w:bottom w:val="single" w:color="auto" w:sz="4" w:space="0"/>
              <w:right w:val="single" w:color="auto" w:sz="4" w:space="0"/>
            </w:tcBorders>
          </w:tcPr>
          <w:p>
            <w:pPr>
              <w:widowControl/>
              <w:textAlignment w:val="center"/>
              <w:rPr>
                <w:rFonts w:ascii="Times New Roman" w:hAnsi="Times New Roman"/>
                <w:kern w:val="0"/>
                <w:szCs w:val="21"/>
              </w:rPr>
            </w:pPr>
          </w:p>
        </w:tc>
      </w:tr>
      <w:tr>
        <w:tblPrEx>
          <w:tblCellMar>
            <w:top w:w="0" w:type="dxa"/>
            <w:left w:w="0" w:type="dxa"/>
            <w:bottom w:w="0" w:type="dxa"/>
            <w:right w:w="0" w:type="dxa"/>
          </w:tblCellMar>
        </w:tblPrEx>
        <w:trPr>
          <w:trHeight w:val="731"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20" w:lineRule="exact"/>
              <w:textAlignment w:val="center"/>
              <w:rPr>
                <w:rFonts w:ascii="Times New Roman" w:hAnsi="Times New Roman"/>
                <w:kern w:val="0"/>
                <w:szCs w:val="21"/>
              </w:rPr>
            </w:pPr>
            <w:r>
              <w:rPr>
                <w:rFonts w:hint="eastAsia" w:ascii="Times New Roman" w:hAnsi="Times New Roman"/>
                <w:kern w:val="0"/>
                <w:szCs w:val="21"/>
              </w:rPr>
              <w:t>机构名称、地址、法定代表人、技术负责人发生变化时，及时到原审批机关办理变更手续。</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Times New Roman" w:hAnsi="Times New Roman"/>
                <w:kern w:val="0"/>
                <w:szCs w:val="21"/>
              </w:rPr>
            </w:pPr>
            <w:r>
              <w:rPr>
                <w:rFonts w:hint="eastAsia" w:ascii="Times New Roman" w:hAnsi="Times New Roman"/>
                <w:kern w:val="0"/>
                <w:szCs w:val="21"/>
              </w:rPr>
              <w:t>得1分，否则不得分。</w:t>
            </w:r>
          </w:p>
        </w:tc>
        <w:tc>
          <w:tcPr>
            <w:tcW w:w="1701" w:type="dxa"/>
            <w:tcBorders>
              <w:top w:val="single" w:color="auto" w:sz="4" w:space="0"/>
              <w:left w:val="single" w:color="auto" w:sz="4" w:space="0"/>
              <w:bottom w:val="single" w:color="auto" w:sz="4" w:space="0"/>
              <w:right w:val="single" w:color="auto" w:sz="4" w:space="0"/>
            </w:tcBorders>
          </w:tcPr>
          <w:p>
            <w:pPr>
              <w:widowControl/>
              <w:textAlignment w:val="center"/>
              <w:rPr>
                <w:rFonts w:ascii="Times New Roman" w:hAnsi="Times New Roman"/>
                <w:kern w:val="0"/>
                <w:szCs w:val="21"/>
              </w:rPr>
            </w:pPr>
          </w:p>
        </w:tc>
        <w:tc>
          <w:tcPr>
            <w:tcW w:w="2409" w:type="dxa"/>
            <w:tcBorders>
              <w:top w:val="single" w:color="auto" w:sz="4" w:space="0"/>
              <w:left w:val="single" w:color="auto" w:sz="4" w:space="0"/>
              <w:bottom w:val="single" w:color="auto" w:sz="4" w:space="0"/>
              <w:right w:val="single" w:color="auto" w:sz="4" w:space="0"/>
            </w:tcBorders>
          </w:tcPr>
          <w:p>
            <w:pPr>
              <w:widowControl/>
              <w:textAlignment w:val="center"/>
              <w:rPr>
                <w:rFonts w:ascii="Times New Roman" w:hAnsi="Times New Roman"/>
                <w:kern w:val="0"/>
                <w:szCs w:val="21"/>
              </w:rPr>
            </w:pPr>
          </w:p>
        </w:tc>
      </w:tr>
      <w:tr>
        <w:tblPrEx>
          <w:tblCellMar>
            <w:top w:w="0" w:type="dxa"/>
            <w:left w:w="0" w:type="dxa"/>
            <w:bottom w:w="0" w:type="dxa"/>
            <w:right w:w="0" w:type="dxa"/>
          </w:tblCellMar>
        </w:tblPrEx>
        <w:trPr>
          <w:trHeight w:val="486"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line="0" w:lineRule="atLeast"/>
              <w:jc w:val="center"/>
              <w:textAlignment w:val="center"/>
              <w:rPr>
                <w:rFonts w:ascii="Times New Roman" w:hAnsi="Times New Roman"/>
                <w:kern w:val="0"/>
                <w:szCs w:val="21"/>
              </w:rPr>
            </w:pPr>
            <w:r>
              <w:rPr>
                <w:rFonts w:hint="eastAsia" w:ascii="Times New Roman" w:hAnsi="Times New Roman"/>
                <w:kern w:val="0"/>
                <w:szCs w:val="21"/>
              </w:rPr>
              <w:t>6</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0" w:lineRule="atLeast"/>
              <w:textAlignment w:val="center"/>
              <w:rPr>
                <w:rFonts w:ascii="Times New Roman" w:hAnsi="Times New Roman"/>
                <w:kern w:val="0"/>
                <w:szCs w:val="21"/>
              </w:rPr>
            </w:pPr>
            <w:r>
              <w:rPr>
                <w:rFonts w:hint="eastAsia" w:ascii="Times New Roman" w:hAnsi="Times New Roman"/>
                <w:kern w:val="0"/>
                <w:szCs w:val="21"/>
              </w:rPr>
              <w:t>取得资质大类15项（含）以上。</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Times New Roman" w:hAnsi="Times New Roman"/>
                <w:kern w:val="0"/>
                <w:szCs w:val="21"/>
              </w:rPr>
            </w:pPr>
            <w:r>
              <w:rPr>
                <w:rFonts w:hint="eastAsia" w:ascii="Times New Roman" w:hAnsi="Times New Roman"/>
                <w:kern w:val="0"/>
                <w:szCs w:val="21"/>
              </w:rPr>
              <w:t>得6分</w:t>
            </w:r>
          </w:p>
        </w:tc>
        <w:tc>
          <w:tcPr>
            <w:tcW w:w="1701" w:type="dxa"/>
            <w:tcBorders>
              <w:top w:val="single" w:color="auto" w:sz="4" w:space="0"/>
              <w:left w:val="single" w:color="auto" w:sz="4" w:space="0"/>
              <w:bottom w:val="single" w:color="auto" w:sz="4" w:space="0"/>
              <w:right w:val="single" w:color="auto" w:sz="4" w:space="0"/>
            </w:tcBorders>
          </w:tcPr>
          <w:p>
            <w:pPr>
              <w:widowControl/>
              <w:textAlignment w:val="center"/>
              <w:rPr>
                <w:rFonts w:ascii="Times New Roman" w:hAnsi="Times New Roman"/>
                <w:kern w:val="0"/>
                <w:szCs w:val="21"/>
              </w:rPr>
            </w:pPr>
          </w:p>
        </w:tc>
        <w:tc>
          <w:tcPr>
            <w:tcW w:w="2409" w:type="dxa"/>
            <w:tcBorders>
              <w:top w:val="single" w:color="auto" w:sz="4" w:space="0"/>
              <w:left w:val="single" w:color="auto" w:sz="4" w:space="0"/>
              <w:bottom w:val="single" w:color="auto" w:sz="4" w:space="0"/>
              <w:right w:val="single" w:color="auto" w:sz="4" w:space="0"/>
            </w:tcBorders>
          </w:tcPr>
          <w:p>
            <w:pPr>
              <w:widowControl/>
              <w:textAlignment w:val="center"/>
              <w:rPr>
                <w:rFonts w:ascii="Times New Roman" w:hAnsi="Times New Roman"/>
                <w:kern w:val="0"/>
                <w:szCs w:val="21"/>
              </w:rPr>
            </w:pPr>
          </w:p>
        </w:tc>
      </w:tr>
      <w:tr>
        <w:tblPrEx>
          <w:tblCellMar>
            <w:top w:w="0" w:type="dxa"/>
            <w:left w:w="0" w:type="dxa"/>
            <w:bottom w:w="0" w:type="dxa"/>
            <w:right w:w="0" w:type="dxa"/>
          </w:tblCellMar>
        </w:tblPrEx>
        <w:trPr>
          <w:trHeight w:val="537"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0" w:lineRule="atLeast"/>
              <w:textAlignment w:val="center"/>
              <w:rPr>
                <w:rFonts w:ascii="Times New Roman" w:hAnsi="Times New Roman"/>
                <w:kern w:val="0"/>
                <w:szCs w:val="21"/>
              </w:rPr>
            </w:pPr>
            <w:r>
              <w:rPr>
                <w:rFonts w:hint="eastAsia" w:ascii="Times New Roman" w:hAnsi="Times New Roman"/>
                <w:kern w:val="0"/>
                <w:szCs w:val="21"/>
              </w:rPr>
              <w:t>取得资质大类10项（含）至14项。</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Times New Roman" w:hAnsi="Times New Roman"/>
                <w:kern w:val="0"/>
                <w:szCs w:val="21"/>
              </w:rPr>
            </w:pPr>
            <w:r>
              <w:rPr>
                <w:rFonts w:hint="eastAsia" w:ascii="Times New Roman" w:hAnsi="Times New Roman"/>
                <w:kern w:val="0"/>
                <w:szCs w:val="21"/>
              </w:rPr>
              <w:t>得5分</w:t>
            </w:r>
          </w:p>
        </w:tc>
        <w:tc>
          <w:tcPr>
            <w:tcW w:w="1701" w:type="dxa"/>
            <w:tcBorders>
              <w:top w:val="single" w:color="auto" w:sz="4" w:space="0"/>
              <w:left w:val="single" w:color="auto" w:sz="4" w:space="0"/>
              <w:bottom w:val="single" w:color="auto" w:sz="4" w:space="0"/>
              <w:right w:val="single" w:color="auto" w:sz="4" w:space="0"/>
            </w:tcBorders>
          </w:tcPr>
          <w:p>
            <w:pPr>
              <w:widowControl/>
              <w:textAlignment w:val="center"/>
              <w:rPr>
                <w:rFonts w:ascii="Times New Roman" w:hAnsi="Times New Roman"/>
                <w:kern w:val="0"/>
                <w:szCs w:val="21"/>
              </w:rPr>
            </w:pPr>
          </w:p>
        </w:tc>
        <w:tc>
          <w:tcPr>
            <w:tcW w:w="2409" w:type="dxa"/>
            <w:tcBorders>
              <w:top w:val="single" w:color="auto" w:sz="4" w:space="0"/>
              <w:left w:val="single" w:color="auto" w:sz="4" w:space="0"/>
              <w:bottom w:val="single" w:color="auto" w:sz="4" w:space="0"/>
              <w:right w:val="single" w:color="auto" w:sz="4" w:space="0"/>
            </w:tcBorders>
          </w:tcPr>
          <w:p>
            <w:pPr>
              <w:widowControl/>
              <w:textAlignment w:val="center"/>
              <w:rPr>
                <w:rFonts w:ascii="Times New Roman" w:hAnsi="Times New Roman"/>
                <w:kern w:val="0"/>
                <w:szCs w:val="21"/>
              </w:rPr>
            </w:pPr>
          </w:p>
        </w:tc>
      </w:tr>
      <w:tr>
        <w:tblPrEx>
          <w:tblCellMar>
            <w:top w:w="0" w:type="dxa"/>
            <w:left w:w="0" w:type="dxa"/>
            <w:bottom w:w="0" w:type="dxa"/>
            <w:right w:w="0" w:type="dxa"/>
          </w:tblCellMar>
        </w:tblPrEx>
        <w:trPr>
          <w:trHeight w:val="545" w:hRule="atLeast"/>
        </w:trPr>
        <w:tc>
          <w:tcPr>
            <w:tcW w:w="96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0" w:lineRule="atLeast"/>
              <w:textAlignment w:val="center"/>
              <w:rPr>
                <w:rFonts w:ascii="Times New Roman" w:hAnsi="Times New Roman"/>
                <w:kern w:val="0"/>
                <w:szCs w:val="21"/>
              </w:rPr>
            </w:pPr>
            <w:r>
              <w:rPr>
                <w:rFonts w:hint="eastAsia" w:ascii="Times New Roman" w:hAnsi="Times New Roman"/>
                <w:kern w:val="0"/>
                <w:szCs w:val="21"/>
              </w:rPr>
              <w:t>取得资质大类6项（含）至9项。</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Times New Roman" w:hAnsi="Times New Roman"/>
                <w:kern w:val="0"/>
                <w:szCs w:val="21"/>
              </w:rPr>
            </w:pPr>
            <w:r>
              <w:rPr>
                <w:rFonts w:hint="eastAsia" w:ascii="Times New Roman" w:hAnsi="Times New Roman"/>
                <w:kern w:val="0"/>
                <w:szCs w:val="21"/>
              </w:rPr>
              <w:t>得3分</w:t>
            </w:r>
          </w:p>
        </w:tc>
        <w:tc>
          <w:tcPr>
            <w:tcW w:w="1701" w:type="dxa"/>
            <w:tcBorders>
              <w:top w:val="single" w:color="auto" w:sz="4" w:space="0"/>
              <w:left w:val="single" w:color="auto" w:sz="4" w:space="0"/>
              <w:bottom w:val="single" w:color="auto" w:sz="4" w:space="0"/>
              <w:right w:val="single" w:color="auto" w:sz="4" w:space="0"/>
            </w:tcBorders>
          </w:tcPr>
          <w:p>
            <w:pPr>
              <w:widowControl/>
              <w:textAlignment w:val="center"/>
              <w:rPr>
                <w:rFonts w:ascii="Times New Roman" w:hAnsi="Times New Roman"/>
                <w:kern w:val="0"/>
                <w:szCs w:val="21"/>
              </w:rPr>
            </w:pPr>
          </w:p>
        </w:tc>
        <w:tc>
          <w:tcPr>
            <w:tcW w:w="2409" w:type="dxa"/>
            <w:tcBorders>
              <w:top w:val="single" w:color="auto" w:sz="4" w:space="0"/>
              <w:left w:val="single" w:color="auto" w:sz="4" w:space="0"/>
              <w:bottom w:val="single" w:color="auto" w:sz="4" w:space="0"/>
              <w:right w:val="single" w:color="auto" w:sz="4" w:space="0"/>
            </w:tcBorders>
          </w:tcPr>
          <w:p>
            <w:pPr>
              <w:widowControl/>
              <w:textAlignment w:val="center"/>
              <w:rPr>
                <w:rFonts w:ascii="Times New Roman" w:hAnsi="Times New Roman"/>
                <w:kern w:val="0"/>
                <w:szCs w:val="21"/>
              </w:rPr>
            </w:pPr>
          </w:p>
        </w:tc>
      </w:tr>
      <w:tr>
        <w:tblPrEx>
          <w:tblCellMar>
            <w:top w:w="0" w:type="dxa"/>
            <w:left w:w="0" w:type="dxa"/>
            <w:bottom w:w="0" w:type="dxa"/>
            <w:right w:w="0" w:type="dxa"/>
          </w:tblCellMar>
        </w:tblPrEx>
        <w:trPr>
          <w:trHeight w:val="538" w:hRule="atLeast"/>
        </w:trPr>
        <w:tc>
          <w:tcPr>
            <w:tcW w:w="96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0" w:lineRule="atLeast"/>
              <w:textAlignment w:val="center"/>
              <w:rPr>
                <w:rFonts w:ascii="Times New Roman" w:hAnsi="Times New Roman"/>
                <w:kern w:val="0"/>
                <w:szCs w:val="21"/>
              </w:rPr>
            </w:pPr>
            <w:r>
              <w:rPr>
                <w:rFonts w:hint="eastAsia" w:ascii="Times New Roman" w:hAnsi="Times New Roman"/>
                <w:kern w:val="0"/>
                <w:szCs w:val="21"/>
              </w:rPr>
              <w:t>取得资质大类6项以下。</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0" w:lineRule="atLeast"/>
              <w:jc w:val="left"/>
              <w:textAlignment w:val="center"/>
              <w:rPr>
                <w:rFonts w:ascii="Times New Roman" w:hAnsi="Times New Roman"/>
                <w:kern w:val="0"/>
                <w:szCs w:val="21"/>
              </w:rPr>
            </w:pPr>
            <w:r>
              <w:rPr>
                <w:rFonts w:hint="eastAsia" w:ascii="Times New Roman" w:hAnsi="Times New Roman"/>
                <w:kern w:val="0"/>
                <w:szCs w:val="21"/>
              </w:rPr>
              <w:t>得1分</w:t>
            </w:r>
          </w:p>
        </w:tc>
        <w:tc>
          <w:tcPr>
            <w:tcW w:w="1701" w:type="dxa"/>
            <w:tcBorders>
              <w:top w:val="single" w:color="auto" w:sz="4" w:space="0"/>
              <w:left w:val="single" w:color="auto" w:sz="4" w:space="0"/>
              <w:bottom w:val="single" w:color="auto" w:sz="4" w:space="0"/>
              <w:right w:val="single" w:color="auto" w:sz="4" w:space="0"/>
            </w:tcBorders>
          </w:tcPr>
          <w:p>
            <w:pPr>
              <w:widowControl/>
              <w:spacing w:line="0" w:lineRule="atLeast"/>
              <w:jc w:val="left"/>
              <w:textAlignment w:val="center"/>
              <w:rPr>
                <w:rFonts w:ascii="Times New Roman" w:hAnsi="Times New Roman"/>
                <w:kern w:val="0"/>
                <w:szCs w:val="21"/>
              </w:rPr>
            </w:pPr>
          </w:p>
        </w:tc>
        <w:tc>
          <w:tcPr>
            <w:tcW w:w="2409" w:type="dxa"/>
            <w:tcBorders>
              <w:top w:val="single" w:color="auto" w:sz="4" w:space="0"/>
              <w:left w:val="single" w:color="auto" w:sz="4" w:space="0"/>
              <w:bottom w:val="single" w:color="auto" w:sz="4" w:space="0"/>
              <w:right w:val="single" w:color="auto" w:sz="4" w:space="0"/>
            </w:tcBorders>
          </w:tcPr>
          <w:p>
            <w:pPr>
              <w:widowControl/>
              <w:spacing w:line="0" w:lineRule="atLeast"/>
              <w:jc w:val="left"/>
              <w:textAlignment w:val="center"/>
              <w:rPr>
                <w:rFonts w:ascii="Times New Roman" w:hAnsi="Times New Roman"/>
                <w:kern w:val="0"/>
                <w:szCs w:val="21"/>
              </w:rPr>
            </w:pPr>
          </w:p>
        </w:tc>
      </w:tr>
      <w:tr>
        <w:tblPrEx>
          <w:tblCellMar>
            <w:top w:w="0" w:type="dxa"/>
            <w:left w:w="0" w:type="dxa"/>
            <w:bottom w:w="0" w:type="dxa"/>
            <w:right w:w="0" w:type="dxa"/>
          </w:tblCellMar>
        </w:tblPrEx>
        <w:trPr>
          <w:trHeight w:val="454" w:hRule="atLeast"/>
        </w:trPr>
        <w:tc>
          <w:tcPr>
            <w:tcW w:w="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textAlignment w:val="center"/>
              <w:rPr>
                <w:rFonts w:ascii="Times New Roman" w:hAnsi="Times New Roman"/>
                <w:kern w:val="0"/>
                <w:szCs w:val="21"/>
              </w:rPr>
            </w:pPr>
          </w:p>
        </w:tc>
        <w:tc>
          <w:tcPr>
            <w:tcW w:w="61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6</w:t>
            </w:r>
          </w:p>
        </w:tc>
        <w:tc>
          <w:tcPr>
            <w:tcW w:w="22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管理体系</w:t>
            </w:r>
          </w:p>
        </w:tc>
        <w:tc>
          <w:tcPr>
            <w:tcW w:w="989"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4</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rFonts w:ascii="Times New Roman" w:hAnsi="Times New Roman"/>
              </w:rPr>
            </w:pPr>
            <w:r>
              <w:rPr>
                <w:rFonts w:hint="eastAsia"/>
                <w:szCs w:val="21"/>
              </w:rPr>
              <w:t>建立、实施和保持与其活动范围相适应的管理体系。</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
              <w:rPr>
                <w:rFonts w:hint="eastAsia"/>
                <w:szCs w:val="21"/>
              </w:rPr>
              <w:t>得</w:t>
            </w:r>
            <w:r>
              <w:rPr>
                <w:rFonts w:ascii="Times New Roman" w:hAnsi="Times New Roman"/>
                <w:szCs w:val="21"/>
              </w:rPr>
              <w:t>2</w:t>
            </w:r>
            <w:r>
              <w:rPr>
                <w:rFonts w:hint="eastAsia"/>
                <w:szCs w:val="21"/>
              </w:rPr>
              <w:t>分，否则不得分。</w:t>
            </w:r>
          </w:p>
        </w:tc>
        <w:tc>
          <w:tcPr>
            <w:tcW w:w="1701" w:type="dxa"/>
            <w:tcBorders>
              <w:top w:val="single" w:color="auto" w:sz="4" w:space="0"/>
              <w:left w:val="single" w:color="auto" w:sz="4" w:space="0"/>
              <w:bottom w:val="single" w:color="auto" w:sz="4" w:space="0"/>
              <w:right w:val="single" w:color="auto" w:sz="4" w:space="0"/>
            </w:tcBorders>
          </w:tcPr>
          <w:p>
            <w:pPr>
              <w:rPr>
                <w:szCs w:val="21"/>
              </w:rPr>
            </w:pPr>
          </w:p>
        </w:tc>
        <w:tc>
          <w:tcPr>
            <w:tcW w:w="2409" w:type="dxa"/>
            <w:tcBorders>
              <w:top w:val="single" w:color="auto" w:sz="4" w:space="0"/>
              <w:left w:val="single" w:color="auto" w:sz="4" w:space="0"/>
              <w:bottom w:val="single" w:color="auto" w:sz="4" w:space="0"/>
              <w:right w:val="single" w:color="auto" w:sz="4" w:space="0"/>
            </w:tcBorders>
          </w:tcPr>
          <w:p>
            <w:pPr>
              <w:rPr>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szCs w:val="21"/>
              </w:rPr>
            </w:pPr>
            <w:r>
              <w:rPr>
                <w:rFonts w:hint="eastAsia" w:ascii="Times New Roman" w:hAnsi="Times New Roman"/>
                <w:kern w:val="0"/>
                <w:szCs w:val="21"/>
              </w:rPr>
              <w:t>各项规章制度健全，制定合理，满足工作实际需要，并得到有效贯彻执行。</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Cs w:val="21"/>
              </w:rPr>
            </w:pPr>
            <w:r>
              <w:rPr>
                <w:rFonts w:hint="eastAsia"/>
                <w:szCs w:val="21"/>
              </w:rPr>
              <w:t>得</w:t>
            </w:r>
            <w:r>
              <w:rPr>
                <w:rFonts w:ascii="Times New Roman" w:hAnsi="Times New Roman"/>
                <w:szCs w:val="21"/>
              </w:rPr>
              <w:t>2</w:t>
            </w:r>
            <w:r>
              <w:rPr>
                <w:rFonts w:hint="eastAsia"/>
                <w:szCs w:val="21"/>
              </w:rPr>
              <w:t>分，否则不得分。</w:t>
            </w:r>
          </w:p>
        </w:tc>
        <w:tc>
          <w:tcPr>
            <w:tcW w:w="1701" w:type="dxa"/>
            <w:tcBorders>
              <w:top w:val="single" w:color="auto" w:sz="4" w:space="0"/>
              <w:left w:val="single" w:color="auto" w:sz="4" w:space="0"/>
              <w:bottom w:val="single" w:color="auto" w:sz="4" w:space="0"/>
              <w:right w:val="single" w:color="auto" w:sz="4" w:space="0"/>
            </w:tcBorders>
          </w:tcPr>
          <w:p>
            <w:pPr>
              <w:rPr>
                <w:szCs w:val="21"/>
              </w:rPr>
            </w:pPr>
          </w:p>
        </w:tc>
        <w:tc>
          <w:tcPr>
            <w:tcW w:w="2409" w:type="dxa"/>
            <w:tcBorders>
              <w:top w:val="single" w:color="auto" w:sz="4" w:space="0"/>
              <w:left w:val="single" w:color="auto" w:sz="4" w:space="0"/>
              <w:bottom w:val="single" w:color="auto" w:sz="4" w:space="0"/>
              <w:right w:val="single" w:color="auto" w:sz="4" w:space="0"/>
            </w:tcBorders>
          </w:tcPr>
          <w:p>
            <w:pPr>
              <w:rPr>
                <w:szCs w:val="21"/>
              </w:rPr>
            </w:pPr>
          </w:p>
        </w:tc>
      </w:tr>
      <w:tr>
        <w:tblPrEx>
          <w:tblCellMar>
            <w:top w:w="0" w:type="dxa"/>
            <w:left w:w="0" w:type="dxa"/>
            <w:bottom w:w="0" w:type="dxa"/>
            <w:right w:w="0" w:type="dxa"/>
          </w:tblCellMar>
        </w:tblPrEx>
        <w:trPr>
          <w:trHeight w:val="90"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7</w:t>
            </w:r>
          </w:p>
        </w:tc>
        <w:tc>
          <w:tcPr>
            <w:tcW w:w="2263" w:type="dxa"/>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szCs w:val="21"/>
              </w:rPr>
              <w:t>档案管理</w:t>
            </w:r>
          </w:p>
        </w:tc>
        <w:tc>
          <w:tcPr>
            <w:tcW w:w="989" w:type="dxa"/>
            <w:gridSpan w:val="2"/>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szCs w:val="21"/>
              </w:rPr>
              <w:t>2</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20" w:lineRule="exact"/>
              <w:rPr>
                <w:szCs w:val="21"/>
              </w:rPr>
            </w:pPr>
            <w:r>
              <w:rPr>
                <w:rFonts w:hint="eastAsia"/>
                <w:szCs w:val="21"/>
              </w:rPr>
              <w:t>人员、设备、记录、报告等档案管理符合《建设工程质量检测规程》（DGJ32/J21-2009）规定。</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Cs w:val="21"/>
              </w:rPr>
            </w:pPr>
            <w:r>
              <w:rPr>
                <w:rFonts w:hint="eastAsia"/>
                <w:szCs w:val="21"/>
              </w:rPr>
              <w:t>得2分，否则不得分。</w:t>
            </w:r>
          </w:p>
        </w:tc>
        <w:tc>
          <w:tcPr>
            <w:tcW w:w="1701" w:type="dxa"/>
            <w:tcBorders>
              <w:top w:val="single" w:color="auto" w:sz="4" w:space="0"/>
              <w:left w:val="single" w:color="auto" w:sz="4" w:space="0"/>
              <w:bottom w:val="single" w:color="auto" w:sz="4" w:space="0"/>
              <w:right w:val="single" w:color="auto" w:sz="4" w:space="0"/>
            </w:tcBorders>
          </w:tcPr>
          <w:p>
            <w:pPr>
              <w:rPr>
                <w:szCs w:val="21"/>
              </w:rPr>
            </w:pPr>
          </w:p>
        </w:tc>
        <w:tc>
          <w:tcPr>
            <w:tcW w:w="2409" w:type="dxa"/>
            <w:tcBorders>
              <w:top w:val="single" w:color="auto" w:sz="4" w:space="0"/>
              <w:left w:val="single" w:color="auto" w:sz="4" w:space="0"/>
              <w:bottom w:val="single" w:color="auto" w:sz="4" w:space="0"/>
              <w:right w:val="single" w:color="auto" w:sz="4" w:space="0"/>
            </w:tcBorders>
          </w:tcPr>
          <w:p>
            <w:pPr>
              <w:rPr>
                <w:szCs w:val="21"/>
              </w:rPr>
            </w:pPr>
          </w:p>
        </w:tc>
      </w:tr>
      <w:tr>
        <w:tblPrEx>
          <w:tblCellMar>
            <w:top w:w="0" w:type="dxa"/>
            <w:left w:w="0" w:type="dxa"/>
            <w:bottom w:w="0" w:type="dxa"/>
            <w:right w:w="0" w:type="dxa"/>
          </w:tblCellMar>
        </w:tblPrEx>
        <w:trPr>
          <w:trHeight w:val="60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8</w:t>
            </w:r>
          </w:p>
        </w:tc>
        <w:tc>
          <w:tcPr>
            <w:tcW w:w="22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信息化管理</w:t>
            </w:r>
          </w:p>
        </w:tc>
        <w:tc>
          <w:tcPr>
            <w:tcW w:w="989"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8</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20" w:lineRule="exact"/>
              <w:rPr>
                <w:szCs w:val="21"/>
              </w:rPr>
            </w:pPr>
            <w:r>
              <w:rPr>
                <w:rFonts w:hint="eastAsia"/>
                <w:szCs w:val="21"/>
              </w:rPr>
              <w:t>混凝土（含取芯）、砂浆、墙体材料、水泥等抗压、回弹、钢材力学性能中的力值应自动采集和自动控载，检测数据上传至信息管理平台。</w:t>
            </w:r>
            <w:r>
              <w:rPr>
                <w:szCs w:val="21"/>
              </w:rPr>
              <w:t xml:space="preserve"> </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
              <w:rPr>
                <w:rFonts w:hint="eastAsia"/>
                <w:szCs w:val="21"/>
              </w:rPr>
              <w:t>得3分，否则不得分。</w:t>
            </w:r>
          </w:p>
        </w:tc>
        <w:tc>
          <w:tcPr>
            <w:tcW w:w="1701" w:type="dxa"/>
            <w:tcBorders>
              <w:top w:val="single" w:color="auto" w:sz="4" w:space="0"/>
              <w:left w:val="single" w:color="auto" w:sz="4" w:space="0"/>
              <w:bottom w:val="single" w:color="auto" w:sz="4" w:space="0"/>
              <w:right w:val="single" w:color="auto" w:sz="4" w:space="0"/>
            </w:tcBorders>
          </w:tcPr>
          <w:p>
            <w:pPr>
              <w:rPr>
                <w:szCs w:val="21"/>
              </w:rPr>
            </w:pPr>
          </w:p>
        </w:tc>
        <w:tc>
          <w:tcPr>
            <w:tcW w:w="2409" w:type="dxa"/>
            <w:tcBorders>
              <w:top w:val="single" w:color="auto" w:sz="4" w:space="0"/>
              <w:left w:val="single" w:color="auto" w:sz="4" w:space="0"/>
              <w:bottom w:val="single" w:color="auto" w:sz="4" w:space="0"/>
              <w:right w:val="single" w:color="auto" w:sz="4" w:space="0"/>
            </w:tcBorders>
          </w:tcPr>
          <w:p>
            <w:pPr>
              <w:rPr>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rFonts w:ascii="Times New Roman" w:hAnsi="Times New Roman"/>
              </w:rPr>
            </w:pPr>
            <w:r>
              <w:rPr>
                <w:rFonts w:hint="eastAsia"/>
                <w:szCs w:val="21"/>
              </w:rPr>
              <w:t>检测报告及时传输到检测监管系统且未人为打包传输。</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
              <w:rPr>
                <w:rFonts w:hint="eastAsia"/>
                <w:szCs w:val="21"/>
              </w:rPr>
              <w:t>得1分，否则不得分。</w:t>
            </w:r>
          </w:p>
        </w:tc>
        <w:tc>
          <w:tcPr>
            <w:tcW w:w="1701" w:type="dxa"/>
            <w:tcBorders>
              <w:top w:val="single" w:color="auto" w:sz="4" w:space="0"/>
              <w:left w:val="single" w:color="auto" w:sz="4" w:space="0"/>
              <w:bottom w:val="single" w:color="auto" w:sz="4" w:space="0"/>
              <w:right w:val="single" w:color="auto" w:sz="4" w:space="0"/>
            </w:tcBorders>
          </w:tcPr>
          <w:p>
            <w:pPr>
              <w:rPr>
                <w:szCs w:val="21"/>
              </w:rPr>
            </w:pPr>
          </w:p>
        </w:tc>
        <w:tc>
          <w:tcPr>
            <w:tcW w:w="2409" w:type="dxa"/>
            <w:tcBorders>
              <w:top w:val="single" w:color="auto" w:sz="4" w:space="0"/>
              <w:left w:val="single" w:color="auto" w:sz="4" w:space="0"/>
              <w:bottom w:val="single" w:color="auto" w:sz="4" w:space="0"/>
              <w:right w:val="single" w:color="auto" w:sz="4" w:space="0"/>
            </w:tcBorders>
          </w:tcPr>
          <w:p>
            <w:pPr>
              <w:rPr>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szCs w:val="21"/>
              </w:rPr>
            </w:pPr>
            <w:r>
              <w:rPr>
                <w:rFonts w:hint="eastAsia"/>
                <w:szCs w:val="21"/>
              </w:rPr>
              <w:t>地基基础静载荷试验检测数据采用自动采集和自动控载；低应变检测数据采用自动采集且报告自动生成、上传检测管理系统。</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
              <w:rPr>
                <w:rFonts w:hint="eastAsia"/>
                <w:szCs w:val="21"/>
              </w:rPr>
              <w:t>得3分，否则不得分。</w:t>
            </w:r>
          </w:p>
        </w:tc>
        <w:tc>
          <w:tcPr>
            <w:tcW w:w="1701" w:type="dxa"/>
            <w:tcBorders>
              <w:top w:val="single" w:color="auto" w:sz="4" w:space="0"/>
              <w:left w:val="single" w:color="auto" w:sz="4" w:space="0"/>
              <w:bottom w:val="single" w:color="auto" w:sz="4" w:space="0"/>
              <w:right w:val="single" w:color="auto" w:sz="4" w:space="0"/>
            </w:tcBorders>
          </w:tcPr>
          <w:p>
            <w:pPr>
              <w:rPr>
                <w:szCs w:val="21"/>
              </w:rPr>
            </w:pPr>
          </w:p>
        </w:tc>
        <w:tc>
          <w:tcPr>
            <w:tcW w:w="2409" w:type="dxa"/>
            <w:tcBorders>
              <w:top w:val="single" w:color="auto" w:sz="4" w:space="0"/>
              <w:left w:val="single" w:color="auto" w:sz="4" w:space="0"/>
              <w:bottom w:val="single" w:color="auto" w:sz="4" w:space="0"/>
              <w:right w:val="single" w:color="auto" w:sz="4" w:space="0"/>
            </w:tcBorders>
          </w:tcPr>
          <w:p>
            <w:pPr>
              <w:rPr>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szCs w:val="21"/>
              </w:rPr>
            </w:pPr>
            <w:r>
              <w:rPr>
                <w:rFonts w:hint="eastAsia"/>
                <w:szCs w:val="21"/>
              </w:rPr>
              <w:t>检测视频监控需覆盖接样室、 “二块”、钢筋、水泥、防水、节能、土工等检测室，且应能观察到试样留置区域情况，设备应始终保持开通并运行正常。</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Cs w:val="21"/>
              </w:rPr>
            </w:pPr>
            <w:r>
              <w:rPr>
                <w:rFonts w:hint="eastAsia"/>
                <w:szCs w:val="21"/>
              </w:rPr>
              <w:t>得1分，否则不得分。</w:t>
            </w:r>
          </w:p>
        </w:tc>
        <w:tc>
          <w:tcPr>
            <w:tcW w:w="1701" w:type="dxa"/>
            <w:tcBorders>
              <w:top w:val="single" w:color="auto" w:sz="4" w:space="0"/>
              <w:left w:val="single" w:color="auto" w:sz="4" w:space="0"/>
              <w:bottom w:val="single" w:color="auto" w:sz="4" w:space="0"/>
              <w:right w:val="single" w:color="auto" w:sz="4" w:space="0"/>
            </w:tcBorders>
          </w:tcPr>
          <w:p>
            <w:pPr>
              <w:rPr>
                <w:szCs w:val="21"/>
              </w:rPr>
            </w:pPr>
          </w:p>
        </w:tc>
        <w:tc>
          <w:tcPr>
            <w:tcW w:w="2409" w:type="dxa"/>
            <w:tcBorders>
              <w:top w:val="single" w:color="auto" w:sz="4" w:space="0"/>
              <w:left w:val="single" w:color="auto" w:sz="4" w:space="0"/>
              <w:bottom w:val="single" w:color="auto" w:sz="4" w:space="0"/>
              <w:right w:val="single" w:color="auto" w:sz="4" w:space="0"/>
            </w:tcBorders>
          </w:tcPr>
          <w:p>
            <w:pPr>
              <w:rPr>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9</w:t>
            </w:r>
          </w:p>
        </w:tc>
        <w:tc>
          <w:tcPr>
            <w:tcW w:w="22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服务质量评价</w:t>
            </w:r>
          </w:p>
        </w:tc>
        <w:tc>
          <w:tcPr>
            <w:tcW w:w="989"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6</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szCs w:val="21"/>
              </w:rPr>
            </w:pPr>
            <w:r>
              <w:rPr>
                <w:rFonts w:hint="eastAsia"/>
                <w:szCs w:val="21"/>
              </w:rPr>
              <w:t>建设、监理、施工等单位对检测机构的服务质量评价。</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
              <w:rPr>
                <w:rFonts w:hint="eastAsia"/>
                <w:szCs w:val="21"/>
              </w:rPr>
              <w:t>得</w:t>
            </w:r>
            <w:r>
              <w:rPr>
                <w:rFonts w:hint="eastAsia" w:ascii="Times New Roman" w:hAnsi="Times New Roman"/>
                <w:szCs w:val="21"/>
              </w:rPr>
              <w:t>2</w:t>
            </w:r>
            <w:r>
              <w:rPr>
                <w:rFonts w:hint="eastAsia"/>
                <w:szCs w:val="21"/>
              </w:rPr>
              <w:t>分，否则不得分。</w:t>
            </w:r>
          </w:p>
        </w:tc>
        <w:tc>
          <w:tcPr>
            <w:tcW w:w="1701" w:type="dxa"/>
            <w:tcBorders>
              <w:top w:val="single" w:color="auto" w:sz="4" w:space="0"/>
              <w:left w:val="single" w:color="auto" w:sz="4" w:space="0"/>
              <w:bottom w:val="single" w:color="auto" w:sz="4" w:space="0"/>
              <w:right w:val="single" w:color="auto" w:sz="4" w:space="0"/>
            </w:tcBorders>
          </w:tcPr>
          <w:p>
            <w:pPr>
              <w:rPr>
                <w:szCs w:val="21"/>
              </w:rPr>
            </w:pPr>
          </w:p>
        </w:tc>
        <w:tc>
          <w:tcPr>
            <w:tcW w:w="2409" w:type="dxa"/>
            <w:tcBorders>
              <w:top w:val="single" w:color="auto" w:sz="4" w:space="0"/>
              <w:left w:val="single" w:color="auto" w:sz="4" w:space="0"/>
              <w:bottom w:val="single" w:color="auto" w:sz="4" w:space="0"/>
              <w:right w:val="single" w:color="auto" w:sz="4" w:space="0"/>
            </w:tcBorders>
          </w:tcPr>
          <w:p>
            <w:pPr>
              <w:rPr>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szCs w:val="21"/>
              </w:rPr>
            </w:pPr>
            <w:r>
              <w:rPr>
                <w:rFonts w:hint="eastAsia"/>
                <w:szCs w:val="21"/>
              </w:rPr>
              <w:t>按要求执行《建设工程质量检测综合报告制度》。</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Cs w:val="21"/>
              </w:rPr>
            </w:pPr>
            <w:r>
              <w:rPr>
                <w:rFonts w:hint="eastAsia"/>
                <w:szCs w:val="21"/>
              </w:rPr>
              <w:t>得2分，否则不得分。</w:t>
            </w:r>
          </w:p>
        </w:tc>
        <w:tc>
          <w:tcPr>
            <w:tcW w:w="1701" w:type="dxa"/>
            <w:tcBorders>
              <w:top w:val="single" w:color="auto" w:sz="4" w:space="0"/>
              <w:left w:val="single" w:color="auto" w:sz="4" w:space="0"/>
              <w:bottom w:val="single" w:color="auto" w:sz="4" w:space="0"/>
              <w:right w:val="single" w:color="auto" w:sz="4" w:space="0"/>
            </w:tcBorders>
          </w:tcPr>
          <w:p>
            <w:pPr>
              <w:rPr>
                <w:szCs w:val="21"/>
              </w:rPr>
            </w:pPr>
          </w:p>
        </w:tc>
        <w:tc>
          <w:tcPr>
            <w:tcW w:w="2409" w:type="dxa"/>
            <w:tcBorders>
              <w:top w:val="single" w:color="auto" w:sz="4" w:space="0"/>
              <w:left w:val="single" w:color="auto" w:sz="4" w:space="0"/>
              <w:bottom w:val="single" w:color="auto" w:sz="4" w:space="0"/>
              <w:right w:val="single" w:color="auto" w:sz="4" w:space="0"/>
            </w:tcBorders>
          </w:tcPr>
          <w:p>
            <w:pPr>
              <w:rPr>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ascii="Times New Roman" w:hAnsi="Times New Roman"/>
                <w:kern w:val="0"/>
                <w:szCs w:val="21"/>
              </w:rPr>
            </w:pPr>
          </w:p>
        </w:tc>
        <w:tc>
          <w:tcPr>
            <w:tcW w:w="989"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rFonts w:ascii="Times New Roman" w:hAnsi="Times New Roman"/>
                <w:kern w:val="0"/>
                <w:szCs w:val="21"/>
              </w:rPr>
            </w:pPr>
            <w:r>
              <w:rPr>
                <w:rFonts w:hint="eastAsia"/>
                <w:szCs w:val="21"/>
              </w:rPr>
              <w:t>无投诉举报或有投诉举报，但经主管部门核实不成立的。</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
              <w:rPr>
                <w:rFonts w:hint="eastAsia"/>
                <w:szCs w:val="21"/>
              </w:rPr>
              <w:t>得2分，否则不得分。</w:t>
            </w:r>
          </w:p>
        </w:tc>
        <w:tc>
          <w:tcPr>
            <w:tcW w:w="1701" w:type="dxa"/>
            <w:tcBorders>
              <w:top w:val="single" w:color="auto" w:sz="4" w:space="0"/>
              <w:left w:val="single" w:color="auto" w:sz="4" w:space="0"/>
              <w:bottom w:val="single" w:color="auto" w:sz="4" w:space="0"/>
              <w:right w:val="single" w:color="auto" w:sz="4" w:space="0"/>
            </w:tcBorders>
          </w:tcPr>
          <w:p>
            <w:pPr>
              <w:rPr>
                <w:szCs w:val="21"/>
              </w:rPr>
            </w:pPr>
          </w:p>
        </w:tc>
        <w:tc>
          <w:tcPr>
            <w:tcW w:w="2409" w:type="dxa"/>
            <w:tcBorders>
              <w:top w:val="single" w:color="auto" w:sz="4" w:space="0"/>
              <w:left w:val="single" w:color="auto" w:sz="4" w:space="0"/>
              <w:bottom w:val="single" w:color="auto" w:sz="4" w:space="0"/>
              <w:right w:val="single" w:color="auto" w:sz="4" w:space="0"/>
            </w:tcBorders>
          </w:tcPr>
          <w:p>
            <w:pPr>
              <w:rPr>
                <w:szCs w:val="21"/>
              </w:rPr>
            </w:pPr>
          </w:p>
        </w:tc>
      </w:tr>
      <w:tr>
        <w:tblPrEx>
          <w:tblCellMar>
            <w:top w:w="0" w:type="dxa"/>
            <w:left w:w="0" w:type="dxa"/>
            <w:bottom w:w="0" w:type="dxa"/>
            <w:right w:w="0" w:type="dxa"/>
          </w:tblCellMar>
        </w:tblPrEx>
        <w:trPr>
          <w:trHeight w:val="702" w:hRule="atLeast"/>
        </w:trPr>
        <w:tc>
          <w:tcPr>
            <w:tcW w:w="963" w:type="dxa"/>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10</w:t>
            </w:r>
          </w:p>
        </w:tc>
        <w:tc>
          <w:tcPr>
            <w:tcW w:w="2263" w:type="dxa"/>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安全生产管理</w:t>
            </w:r>
          </w:p>
        </w:tc>
        <w:tc>
          <w:tcPr>
            <w:tcW w:w="989" w:type="dxa"/>
            <w:gridSpan w:val="2"/>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w:t>
            </w:r>
          </w:p>
        </w:tc>
        <w:tc>
          <w:tcPr>
            <w:tcW w:w="3960" w:type="dxa"/>
            <w:tcBorders>
              <w:top w:val="single" w:color="auto" w:sz="4" w:space="0"/>
              <w:left w:val="single" w:color="auto" w:sz="4" w:space="0"/>
              <w:right w:val="single" w:color="auto" w:sz="4" w:space="0"/>
            </w:tcBorders>
            <w:tcMar>
              <w:top w:w="15" w:type="dxa"/>
              <w:left w:w="15" w:type="dxa"/>
              <w:right w:w="15" w:type="dxa"/>
            </w:tcMar>
            <w:vAlign w:val="center"/>
          </w:tcPr>
          <w:p>
            <w:pPr>
              <w:spacing w:line="0" w:lineRule="atLeast"/>
              <w:rPr>
                <w:szCs w:val="21"/>
              </w:rPr>
            </w:pPr>
            <w:r>
              <w:rPr>
                <w:rFonts w:hint="eastAsia"/>
                <w:szCs w:val="21"/>
              </w:rPr>
              <w:t>建立安全生产管理规定，并严格执行，每年定期对检测人员进行安全培训。</w:t>
            </w:r>
          </w:p>
        </w:tc>
        <w:tc>
          <w:tcPr>
            <w:tcW w:w="1295" w:type="dxa"/>
            <w:gridSpan w:val="2"/>
            <w:tcBorders>
              <w:top w:val="single" w:color="auto" w:sz="4" w:space="0"/>
              <w:left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hint="eastAsia" w:ascii="Times New Roman" w:hAnsi="Times New Roman"/>
                <w:kern w:val="0"/>
                <w:szCs w:val="21"/>
              </w:rPr>
              <w:t>得</w:t>
            </w:r>
            <w:r>
              <w:rPr>
                <w:rFonts w:ascii="Times New Roman" w:hAnsi="Times New Roman"/>
                <w:kern w:val="0"/>
                <w:szCs w:val="21"/>
              </w:rPr>
              <w:t>2</w:t>
            </w:r>
            <w:r>
              <w:rPr>
                <w:rFonts w:hint="eastAsia" w:ascii="Times New Roman" w:hAnsi="Times New Roman"/>
                <w:kern w:val="0"/>
                <w:szCs w:val="21"/>
              </w:rPr>
              <w:t>分，否则不得分。</w:t>
            </w:r>
          </w:p>
        </w:tc>
        <w:tc>
          <w:tcPr>
            <w:tcW w:w="1701" w:type="dxa"/>
            <w:tcBorders>
              <w:top w:val="single" w:color="auto" w:sz="4" w:space="0"/>
              <w:left w:val="single" w:color="auto" w:sz="4" w:space="0"/>
              <w:right w:val="single" w:color="auto" w:sz="4" w:space="0"/>
            </w:tcBorders>
          </w:tcPr>
          <w:p>
            <w:pPr>
              <w:widowControl/>
              <w:jc w:val="left"/>
              <w:textAlignment w:val="center"/>
              <w:rPr>
                <w:rFonts w:ascii="Times New Roman" w:hAnsi="Times New Roman"/>
                <w:kern w:val="0"/>
                <w:szCs w:val="21"/>
              </w:rPr>
            </w:pPr>
          </w:p>
        </w:tc>
        <w:tc>
          <w:tcPr>
            <w:tcW w:w="2409" w:type="dxa"/>
            <w:tcBorders>
              <w:top w:val="single" w:color="auto" w:sz="4" w:space="0"/>
              <w:left w:val="single" w:color="auto" w:sz="4" w:space="0"/>
              <w:right w:val="single" w:color="auto" w:sz="4" w:space="0"/>
            </w:tcBorders>
          </w:tcPr>
          <w:p>
            <w:pPr>
              <w:widowControl/>
              <w:jc w:val="left"/>
              <w:textAlignment w:val="center"/>
              <w:rPr>
                <w:rFonts w:ascii="Times New Roman" w:hAnsi="Times New Roman"/>
                <w:kern w:val="0"/>
                <w:szCs w:val="21"/>
              </w:rPr>
            </w:pPr>
          </w:p>
        </w:tc>
      </w:tr>
      <w:tr>
        <w:tblPrEx>
          <w:tblCellMar>
            <w:top w:w="0" w:type="dxa"/>
            <w:left w:w="0" w:type="dxa"/>
            <w:bottom w:w="0" w:type="dxa"/>
            <w:right w:w="0" w:type="dxa"/>
          </w:tblCellMar>
        </w:tblPrEx>
        <w:trPr>
          <w:trHeight w:val="709" w:hRule="atLeast"/>
        </w:trPr>
        <w:tc>
          <w:tcPr>
            <w:tcW w:w="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技术要求</w:t>
            </w:r>
            <w:r>
              <w:rPr>
                <w:rFonts w:hint="eastAsia" w:ascii="Times New Roman" w:hAnsi="Times New Roman"/>
                <w:kern w:val="0"/>
                <w:szCs w:val="21"/>
              </w:rPr>
              <w:t>（32分）</w:t>
            </w:r>
          </w:p>
        </w:tc>
        <w:tc>
          <w:tcPr>
            <w:tcW w:w="61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11</w:t>
            </w:r>
          </w:p>
        </w:tc>
        <w:tc>
          <w:tcPr>
            <w:tcW w:w="22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人员能力</w:t>
            </w:r>
          </w:p>
        </w:tc>
        <w:tc>
          <w:tcPr>
            <w:tcW w:w="98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6</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szCs w:val="21"/>
              </w:rPr>
            </w:pPr>
            <w:r>
              <w:rPr>
                <w:rFonts w:hint="eastAsia"/>
                <w:szCs w:val="21"/>
              </w:rPr>
              <w:t>检测人员遵守《江苏省建设工程质量检测行业职业道德准则》。</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hint="eastAsia"/>
                <w:szCs w:val="21"/>
              </w:rPr>
              <w:t>得1分，否则不得分。</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r>
      <w:tr>
        <w:tblPrEx>
          <w:tblCellMar>
            <w:top w:w="0" w:type="dxa"/>
            <w:left w:w="0" w:type="dxa"/>
            <w:bottom w:w="0" w:type="dxa"/>
            <w:right w:w="0" w:type="dxa"/>
          </w:tblCellMar>
        </w:tblPrEx>
        <w:trPr>
          <w:trHeight w:val="454" w:hRule="atLeast"/>
        </w:trPr>
        <w:tc>
          <w:tcPr>
            <w:tcW w:w="963"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szCs w:val="21"/>
              </w:rPr>
            </w:pPr>
            <w:r>
              <w:rPr>
                <w:rFonts w:hint="eastAsia"/>
                <w:szCs w:val="21"/>
              </w:rPr>
              <w:t>按照建设部141号令要求配备注册工程师(岩土、二级结构)。</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center"/>
              <w:rPr>
                <w:rFonts w:ascii="Times New Roman" w:hAnsi="Times New Roman"/>
                <w:kern w:val="0"/>
                <w:szCs w:val="21"/>
              </w:rPr>
            </w:pPr>
            <w:r>
              <w:rPr>
                <w:rFonts w:hint="eastAsia"/>
                <w:szCs w:val="21"/>
              </w:rPr>
              <w:t>得1分，否则不得分。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r>
      <w:tr>
        <w:tblPrEx>
          <w:tblCellMar>
            <w:top w:w="0" w:type="dxa"/>
            <w:left w:w="0" w:type="dxa"/>
            <w:bottom w:w="0" w:type="dxa"/>
            <w:right w:w="0" w:type="dxa"/>
          </w:tblCellMar>
        </w:tblPrEx>
        <w:trPr>
          <w:trHeight w:val="616" w:hRule="atLeast"/>
        </w:trPr>
        <w:tc>
          <w:tcPr>
            <w:tcW w:w="963"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20" w:lineRule="exact"/>
              <w:jc w:val="left"/>
              <w:rPr>
                <w:szCs w:val="21"/>
              </w:rPr>
            </w:pPr>
            <w:r>
              <w:rPr>
                <w:rFonts w:hint="eastAsia"/>
                <w:szCs w:val="21"/>
              </w:rPr>
              <w:t>检测机构技术负责人上岗要求符合《建设工程质量检测规程》（DGJ32/J21-2009）规定。</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center"/>
              <w:rPr>
                <w:rFonts w:ascii="Times New Roman" w:hAnsi="Times New Roman"/>
                <w:kern w:val="0"/>
                <w:szCs w:val="21"/>
              </w:rPr>
            </w:pPr>
            <w:r>
              <w:rPr>
                <w:rFonts w:hint="eastAsia"/>
                <w:szCs w:val="21"/>
              </w:rPr>
              <w:t>得1分，否则不得分。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r>
      <w:tr>
        <w:tblPrEx>
          <w:tblCellMar>
            <w:top w:w="0" w:type="dxa"/>
            <w:left w:w="0" w:type="dxa"/>
            <w:bottom w:w="0" w:type="dxa"/>
            <w:right w:w="0" w:type="dxa"/>
          </w:tblCellMar>
        </w:tblPrEx>
        <w:trPr>
          <w:trHeight w:val="891" w:hRule="atLeast"/>
        </w:trPr>
        <w:tc>
          <w:tcPr>
            <w:tcW w:w="963"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20" w:lineRule="exact"/>
              <w:rPr>
                <w:szCs w:val="21"/>
              </w:rPr>
            </w:pPr>
            <w:r>
              <w:rPr>
                <w:rFonts w:hint="eastAsia"/>
                <w:szCs w:val="21"/>
              </w:rPr>
              <w:t>每名检测人员在岗检测项目数量和检测报告审核人员在岗审核项目数量符合《建设工程质量检测规程》（</w:t>
            </w:r>
            <w:r>
              <w:rPr>
                <w:szCs w:val="21"/>
              </w:rPr>
              <w:t>DGJ32/J21-2009</w:t>
            </w:r>
            <w:r>
              <w:rPr>
                <w:rFonts w:hint="eastAsia"/>
                <w:szCs w:val="21"/>
              </w:rPr>
              <w:t>）规定。</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center"/>
              <w:rPr>
                <w:rFonts w:ascii="Times New Roman" w:hAnsi="Times New Roman"/>
                <w:kern w:val="0"/>
                <w:szCs w:val="21"/>
              </w:rPr>
            </w:pPr>
            <w:r>
              <w:rPr>
                <w:rFonts w:hint="eastAsia"/>
                <w:szCs w:val="21"/>
              </w:rPr>
              <w:t>得2分，否则不得分。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r>
      <w:tr>
        <w:tblPrEx>
          <w:tblCellMar>
            <w:top w:w="0" w:type="dxa"/>
            <w:left w:w="0" w:type="dxa"/>
            <w:bottom w:w="0" w:type="dxa"/>
            <w:right w:w="0" w:type="dxa"/>
          </w:tblCellMar>
        </w:tblPrEx>
        <w:trPr>
          <w:trHeight w:val="678" w:hRule="atLeast"/>
        </w:trPr>
        <w:tc>
          <w:tcPr>
            <w:tcW w:w="963"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20" w:lineRule="exact"/>
              <w:rPr>
                <w:szCs w:val="21"/>
              </w:rPr>
            </w:pPr>
            <w:r>
              <w:rPr>
                <w:rFonts w:hint="eastAsia"/>
                <w:szCs w:val="21"/>
              </w:rPr>
              <w:t>检测机构检测人员配备符合《建设工程质量检测规程》（</w:t>
            </w:r>
            <w:r>
              <w:rPr>
                <w:szCs w:val="21"/>
              </w:rPr>
              <w:t>DGJ32/J21-2009</w:t>
            </w:r>
            <w:r>
              <w:rPr>
                <w:rFonts w:hint="eastAsia"/>
                <w:szCs w:val="21"/>
              </w:rPr>
              <w:t>）规定。</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center"/>
              <w:rPr>
                <w:rFonts w:ascii="Times New Roman" w:hAnsi="Times New Roman"/>
                <w:kern w:val="0"/>
                <w:szCs w:val="21"/>
              </w:rPr>
            </w:pPr>
            <w:r>
              <w:rPr>
                <w:rFonts w:hint="eastAsia"/>
                <w:szCs w:val="21"/>
              </w:rPr>
              <w:t>得1分，否则不得分。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r>
      <w:tr>
        <w:tblPrEx>
          <w:tblCellMar>
            <w:top w:w="0" w:type="dxa"/>
            <w:left w:w="0" w:type="dxa"/>
            <w:bottom w:w="0" w:type="dxa"/>
            <w:right w:w="0" w:type="dxa"/>
          </w:tblCellMar>
        </w:tblPrEx>
        <w:trPr>
          <w:trHeight w:val="454" w:hRule="atLeast"/>
        </w:trPr>
        <w:tc>
          <w:tcPr>
            <w:tcW w:w="963" w:type="dxa"/>
            <w:vMerge w:val="continue"/>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rFonts w:ascii="Times New Roman" w:hAnsi="Times New Roman"/>
              </w:rPr>
            </w:pPr>
            <w:r>
              <w:rPr>
                <w:rFonts w:hint="eastAsia"/>
                <w:szCs w:val="21"/>
              </w:rPr>
              <w:t>检测人员同时受聘于两个或者两个以上的建筑相关企业。</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center"/>
              <w:rPr>
                <w:rFonts w:ascii="Times New Roman" w:hAnsi="Times New Roman"/>
                <w:kern w:val="0"/>
                <w:szCs w:val="21"/>
              </w:rPr>
            </w:pPr>
            <w:r>
              <w:rPr>
                <w:rFonts w:hint="eastAsia"/>
                <w:szCs w:val="21"/>
              </w:rPr>
              <w:t>直接评定为D级。</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12</w:t>
            </w:r>
          </w:p>
        </w:tc>
        <w:tc>
          <w:tcPr>
            <w:tcW w:w="22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设备管理</w:t>
            </w:r>
          </w:p>
        </w:tc>
        <w:tc>
          <w:tcPr>
            <w:tcW w:w="989"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4</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textAlignment w:val="center"/>
              <w:rPr>
                <w:rFonts w:ascii="Times New Roman" w:hAnsi="Times New Roman"/>
                <w:kern w:val="0"/>
                <w:szCs w:val="21"/>
              </w:rPr>
            </w:pPr>
            <w:r>
              <w:rPr>
                <w:rFonts w:hint="eastAsia"/>
                <w:szCs w:val="21"/>
              </w:rPr>
              <w:t>检测设备配备达到《建设工程质量检测规程》（DGJ32/J21-2009）要求。</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hint="eastAsia"/>
                <w:szCs w:val="21"/>
              </w:rPr>
              <w:t>得2分，否则不得分。</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textAlignment w:val="center"/>
              <w:rPr>
                <w:rFonts w:ascii="Times New Roman" w:hAnsi="Times New Roman"/>
                <w:kern w:val="0"/>
                <w:szCs w:val="21"/>
              </w:rPr>
            </w:pPr>
            <w:r>
              <w:rPr>
                <w:rFonts w:hint="eastAsia"/>
                <w:szCs w:val="21"/>
              </w:rPr>
              <w:t>检测仪器设备按时检定/校准。</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textAlignment w:val="center"/>
              <w:rPr>
                <w:rFonts w:ascii="Times New Roman" w:hAnsi="Times New Roman"/>
                <w:kern w:val="0"/>
                <w:szCs w:val="21"/>
              </w:rPr>
            </w:pPr>
            <w:r>
              <w:rPr>
                <w:rFonts w:hint="eastAsia"/>
                <w:szCs w:val="21"/>
              </w:rPr>
              <w:t>得2分，否则不得分。</w:t>
            </w:r>
          </w:p>
        </w:tc>
        <w:tc>
          <w:tcPr>
            <w:tcW w:w="1701"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jc w:val="left"/>
              <w:textAlignment w:val="center"/>
              <w:rPr>
                <w:szCs w:val="21"/>
              </w:rPr>
            </w:pPr>
          </w:p>
        </w:tc>
      </w:tr>
      <w:tr>
        <w:tblPrEx>
          <w:tblCellMar>
            <w:top w:w="0" w:type="dxa"/>
            <w:left w:w="0" w:type="dxa"/>
            <w:bottom w:w="0" w:type="dxa"/>
            <w:right w:w="0" w:type="dxa"/>
          </w:tblCellMar>
        </w:tblPrEx>
        <w:trPr>
          <w:trHeight w:val="645" w:hRule="atLeast"/>
        </w:trPr>
        <w:tc>
          <w:tcPr>
            <w:tcW w:w="96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13</w:t>
            </w:r>
          </w:p>
        </w:tc>
        <w:tc>
          <w:tcPr>
            <w:tcW w:w="22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场所</w:t>
            </w:r>
            <w:r>
              <w:rPr>
                <w:rFonts w:hint="eastAsia" w:ascii="Times New Roman" w:hAnsi="Times New Roman"/>
                <w:kern w:val="0"/>
                <w:szCs w:val="21"/>
              </w:rPr>
              <w:t>环境</w:t>
            </w: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rFonts w:ascii="Times New Roman" w:hAnsi="Times New Roman"/>
              </w:rPr>
            </w:pPr>
            <w:r>
              <w:rPr>
                <w:rFonts w:hint="eastAsia"/>
                <w:szCs w:val="21"/>
              </w:rPr>
              <w:t>检测环境符合《建设工程质量检测规程》（DGJ32/J21-2009）要求。</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hint="eastAsia"/>
                <w:szCs w:val="21"/>
              </w:rPr>
              <w:t>得2分，否则不得分。</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r>
      <w:tr>
        <w:tblPrEx>
          <w:tblCellMar>
            <w:top w:w="0" w:type="dxa"/>
            <w:left w:w="0" w:type="dxa"/>
            <w:bottom w:w="0" w:type="dxa"/>
            <w:right w:w="0" w:type="dxa"/>
          </w:tblCellMar>
        </w:tblPrEx>
        <w:trPr>
          <w:trHeight w:val="826" w:hRule="atLeast"/>
        </w:trPr>
        <w:tc>
          <w:tcPr>
            <w:tcW w:w="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textAlignment w:val="center"/>
              <w:rPr>
                <w:rFonts w:ascii="Times New Roman" w:hAnsi="Times New Roman"/>
                <w:kern w:val="0"/>
                <w:szCs w:val="21"/>
              </w:rPr>
            </w:pPr>
          </w:p>
        </w:tc>
        <w:tc>
          <w:tcPr>
            <w:tcW w:w="61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14</w:t>
            </w:r>
          </w:p>
        </w:tc>
        <w:tc>
          <w:tcPr>
            <w:tcW w:w="22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szCs w:val="21"/>
              </w:rPr>
              <w:t>样品管理</w:t>
            </w:r>
          </w:p>
        </w:tc>
        <w:tc>
          <w:tcPr>
            <w:tcW w:w="989"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4</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szCs w:val="21"/>
              </w:rPr>
            </w:pPr>
            <w:r>
              <w:rPr>
                <w:rFonts w:hint="eastAsia"/>
                <w:szCs w:val="21"/>
              </w:rPr>
              <w:t>样品应进行唯一性标识，与委托编号相关联，且符合密码管理要求。</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szCs w:val="21"/>
              </w:rPr>
            </w:pPr>
            <w:r>
              <w:rPr>
                <w:rFonts w:hint="eastAsia"/>
                <w:szCs w:val="21"/>
              </w:rPr>
              <w:t>得2分，否则不得分。</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r>
      <w:tr>
        <w:tblPrEx>
          <w:tblCellMar>
            <w:top w:w="0" w:type="dxa"/>
            <w:left w:w="0" w:type="dxa"/>
            <w:bottom w:w="0" w:type="dxa"/>
            <w:right w:w="0" w:type="dxa"/>
          </w:tblCellMar>
        </w:tblPrEx>
        <w:trPr>
          <w:trHeight w:val="706"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szCs w:val="21"/>
              </w:rPr>
            </w:pPr>
          </w:p>
        </w:tc>
        <w:tc>
          <w:tcPr>
            <w:tcW w:w="989"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szCs w:val="21"/>
              </w:rPr>
            </w:pPr>
            <w:r>
              <w:rPr>
                <w:rFonts w:hint="eastAsia"/>
                <w:szCs w:val="21"/>
              </w:rPr>
              <w:t>样品流转、留置制度符合《建设工程质量检测规程》（DGJ32/J21-2009）要求。</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szCs w:val="21"/>
              </w:rPr>
            </w:pPr>
            <w:r>
              <w:rPr>
                <w:rFonts w:hint="eastAsia"/>
                <w:szCs w:val="21"/>
              </w:rPr>
              <w:t>得2分，否则不得分。</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5</w:t>
            </w:r>
          </w:p>
        </w:tc>
        <w:tc>
          <w:tcPr>
            <w:tcW w:w="2263" w:type="dxa"/>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szCs w:val="21"/>
              </w:rPr>
              <w:t>检测标准</w:t>
            </w:r>
          </w:p>
        </w:tc>
        <w:tc>
          <w:tcPr>
            <w:tcW w:w="989" w:type="dxa"/>
            <w:gridSpan w:val="2"/>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szCs w:val="21"/>
              </w:rPr>
            </w:pPr>
            <w:r>
              <w:rPr>
                <w:rFonts w:hint="eastAsia"/>
                <w:szCs w:val="21"/>
              </w:rPr>
              <w:t>检测报告中检测方法标准应在资质认定证书附表范围内，且现行有效。</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szCs w:val="21"/>
              </w:rPr>
            </w:pPr>
            <w:r>
              <w:rPr>
                <w:rFonts w:hint="eastAsia"/>
                <w:szCs w:val="21"/>
              </w:rPr>
              <w:t>得2分，否则不得分。</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16</w:t>
            </w:r>
          </w:p>
        </w:tc>
        <w:tc>
          <w:tcPr>
            <w:tcW w:w="2263" w:type="dxa"/>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szCs w:val="21"/>
              </w:rPr>
            </w:pPr>
            <w:r>
              <w:rPr>
                <w:rFonts w:hint="eastAsia"/>
                <w:szCs w:val="21"/>
              </w:rPr>
              <w:t>记录控制</w:t>
            </w:r>
          </w:p>
        </w:tc>
        <w:tc>
          <w:tcPr>
            <w:tcW w:w="989" w:type="dxa"/>
            <w:gridSpan w:val="2"/>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hint="eastAsia" w:ascii="Times New Roman" w:hAnsi="Times New Roman"/>
                <w:szCs w:val="21"/>
              </w:rPr>
              <w:t>6</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szCs w:val="21"/>
              </w:rPr>
            </w:pPr>
            <w:r>
              <w:rPr>
                <w:rFonts w:hint="eastAsia"/>
                <w:szCs w:val="21"/>
              </w:rPr>
              <w:t>检测原始记录信息及数据可追溯，包含必要的影像资料。</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szCs w:val="21"/>
              </w:rPr>
            </w:pPr>
            <w:r>
              <w:rPr>
                <w:rFonts w:hint="eastAsia"/>
                <w:szCs w:val="21"/>
              </w:rPr>
              <w:t>得</w:t>
            </w:r>
            <w:r>
              <w:rPr>
                <w:rFonts w:hint="eastAsia" w:ascii="Times New Roman" w:hAnsi="Times New Roman"/>
                <w:szCs w:val="21"/>
              </w:rPr>
              <w:t>6</w:t>
            </w:r>
            <w:r>
              <w:rPr>
                <w:rFonts w:hint="eastAsia"/>
                <w:szCs w:val="21"/>
              </w:rPr>
              <w:t>分，发现一次不符合扣0.5分，扣完为止。</w:t>
            </w:r>
          </w:p>
        </w:tc>
        <w:tc>
          <w:tcPr>
            <w:tcW w:w="1701" w:type="dxa"/>
            <w:tcBorders>
              <w:top w:val="single" w:color="auto" w:sz="4" w:space="0"/>
              <w:left w:val="single" w:color="auto" w:sz="4" w:space="0"/>
              <w:bottom w:val="single" w:color="auto" w:sz="4" w:space="0"/>
              <w:right w:val="single" w:color="auto" w:sz="4" w:space="0"/>
            </w:tcBorders>
          </w:tcPr>
          <w:p>
            <w:pPr>
              <w:rPr>
                <w:szCs w:val="21"/>
              </w:rPr>
            </w:pPr>
          </w:p>
        </w:tc>
        <w:tc>
          <w:tcPr>
            <w:tcW w:w="2409" w:type="dxa"/>
            <w:tcBorders>
              <w:top w:val="single" w:color="auto" w:sz="4" w:space="0"/>
              <w:left w:val="single" w:color="auto" w:sz="4" w:space="0"/>
              <w:bottom w:val="single" w:color="auto" w:sz="4" w:space="0"/>
              <w:right w:val="single" w:color="auto" w:sz="4" w:space="0"/>
            </w:tcBorders>
          </w:tcPr>
          <w:p>
            <w:pPr>
              <w:rPr>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7</w:t>
            </w:r>
          </w:p>
        </w:tc>
        <w:tc>
          <w:tcPr>
            <w:tcW w:w="2263" w:type="dxa"/>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szCs w:val="21"/>
              </w:rPr>
            </w:pPr>
            <w:r>
              <w:rPr>
                <w:rFonts w:ascii="Times New Roman" w:hAnsi="Times New Roman"/>
                <w:kern w:val="0"/>
                <w:szCs w:val="21"/>
              </w:rPr>
              <w:t>检测报告</w:t>
            </w:r>
          </w:p>
        </w:tc>
        <w:tc>
          <w:tcPr>
            <w:tcW w:w="989" w:type="dxa"/>
            <w:gridSpan w:val="2"/>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4</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szCs w:val="21"/>
              </w:rPr>
            </w:pPr>
            <w:r>
              <w:rPr>
                <w:rFonts w:hint="eastAsia"/>
                <w:szCs w:val="21"/>
              </w:rPr>
              <w:t>检测报告内容、结论表述、签字盖章等符合相关法律法规、文件和规程要求。</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szCs w:val="21"/>
              </w:rPr>
            </w:pPr>
            <w:r>
              <w:rPr>
                <w:rFonts w:hint="eastAsia"/>
                <w:szCs w:val="21"/>
              </w:rPr>
              <w:t>得</w:t>
            </w:r>
            <w:r>
              <w:rPr>
                <w:rFonts w:hint="eastAsia" w:ascii="Times New Roman" w:hAnsi="Times New Roman"/>
                <w:szCs w:val="21"/>
              </w:rPr>
              <w:t>4</w:t>
            </w:r>
            <w:r>
              <w:rPr>
                <w:rFonts w:hint="eastAsia"/>
                <w:szCs w:val="21"/>
              </w:rPr>
              <w:t>分，发现一次不符合扣0.5分，扣完为止。</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r>
      <w:tr>
        <w:tblPrEx>
          <w:tblCellMar>
            <w:top w:w="0" w:type="dxa"/>
            <w:left w:w="0" w:type="dxa"/>
            <w:bottom w:w="0" w:type="dxa"/>
            <w:right w:w="0" w:type="dxa"/>
          </w:tblCellMar>
        </w:tblPrEx>
        <w:trPr>
          <w:trHeight w:val="454" w:hRule="atLeast"/>
        </w:trPr>
        <w:tc>
          <w:tcPr>
            <w:tcW w:w="96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8</w:t>
            </w:r>
          </w:p>
        </w:tc>
        <w:tc>
          <w:tcPr>
            <w:tcW w:w="22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能力验证</w:t>
            </w: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4</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0" w:lineRule="atLeast"/>
              <w:textAlignment w:val="center"/>
              <w:rPr>
                <w:rFonts w:ascii="Times New Roman" w:hAnsi="Times New Roman"/>
                <w:kern w:val="0"/>
                <w:szCs w:val="21"/>
              </w:rPr>
            </w:pPr>
            <w:r>
              <w:rPr>
                <w:rFonts w:hint="eastAsia"/>
                <w:szCs w:val="21"/>
              </w:rPr>
              <w:t>按要求参加省、市建设及市场监管主管部门组织的能力验证。</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hint="eastAsia"/>
                <w:szCs w:val="21"/>
              </w:rPr>
              <w:t>结果满意得</w:t>
            </w:r>
            <w:r>
              <w:rPr>
                <w:rFonts w:ascii="Times New Roman" w:hAnsi="Times New Roman"/>
                <w:szCs w:val="21"/>
              </w:rPr>
              <w:t>2</w:t>
            </w:r>
            <w:r>
              <w:rPr>
                <w:rFonts w:hint="eastAsia"/>
                <w:szCs w:val="21"/>
              </w:rPr>
              <w:t>分</w:t>
            </w:r>
            <w:r>
              <w:rPr>
                <w:rFonts w:ascii="Times New Roman" w:hAnsi="Times New Roman"/>
                <w:szCs w:val="21"/>
              </w:rPr>
              <w:t>/</w:t>
            </w:r>
            <w:r>
              <w:rPr>
                <w:rFonts w:hint="eastAsia"/>
                <w:szCs w:val="21"/>
              </w:rPr>
              <w:t>项，最高不超</w:t>
            </w:r>
            <w:r>
              <w:rPr>
                <w:rFonts w:hint="eastAsia" w:ascii="Times New Roman" w:hAnsi="Times New Roman"/>
                <w:szCs w:val="21"/>
              </w:rPr>
              <w:t>过</w:t>
            </w:r>
            <w:r>
              <w:rPr>
                <w:rFonts w:ascii="Times New Roman" w:hAnsi="Times New Roman"/>
                <w:szCs w:val="21"/>
              </w:rPr>
              <w:t>4</w:t>
            </w:r>
            <w:r>
              <w:rPr>
                <w:rFonts w:hint="eastAsia" w:ascii="Times New Roman" w:hAnsi="Times New Roman"/>
                <w:szCs w:val="21"/>
              </w:rPr>
              <w:t>分；能力验证结果不满意扣</w:t>
            </w:r>
            <w:r>
              <w:rPr>
                <w:rFonts w:ascii="Times New Roman" w:hAnsi="Times New Roman"/>
                <w:szCs w:val="21"/>
              </w:rPr>
              <w:t>2</w:t>
            </w:r>
            <w:r>
              <w:rPr>
                <w:rFonts w:hint="eastAsia" w:ascii="Times New Roman" w:hAnsi="Times New Roman"/>
                <w:szCs w:val="21"/>
              </w:rPr>
              <w:t>分</w:t>
            </w:r>
            <w:r>
              <w:rPr>
                <w:rFonts w:ascii="Times New Roman" w:hAnsi="Times New Roman"/>
                <w:szCs w:val="21"/>
              </w:rPr>
              <w:t>/</w:t>
            </w:r>
            <w:r>
              <w:rPr>
                <w:rFonts w:hint="eastAsia" w:ascii="Times New Roman" w:hAnsi="Times New Roman"/>
                <w:szCs w:val="21"/>
              </w:rPr>
              <w:t>项；可疑扣</w:t>
            </w:r>
            <w:r>
              <w:rPr>
                <w:rFonts w:ascii="Times New Roman" w:hAnsi="Times New Roman"/>
                <w:szCs w:val="21"/>
              </w:rPr>
              <w:t>1</w:t>
            </w:r>
            <w:r>
              <w:rPr>
                <w:rFonts w:hint="eastAsia" w:ascii="Times New Roman" w:hAnsi="Times New Roman"/>
                <w:szCs w:val="21"/>
              </w:rPr>
              <w:t>分</w:t>
            </w:r>
            <w:r>
              <w:rPr>
                <w:rFonts w:ascii="Times New Roman" w:hAnsi="Times New Roman"/>
                <w:szCs w:val="21"/>
              </w:rPr>
              <w:t>/</w:t>
            </w:r>
            <w:r>
              <w:rPr>
                <w:rFonts w:hint="eastAsia" w:ascii="Times New Roman" w:hAnsi="Times New Roman"/>
                <w:szCs w:val="21"/>
              </w:rPr>
              <w:t>项；不参加的扣4分</w:t>
            </w:r>
            <w:r>
              <w:rPr>
                <w:rFonts w:ascii="Times New Roman" w:hAnsi="Times New Roman"/>
                <w:szCs w:val="21"/>
              </w:rPr>
              <w:t>/</w:t>
            </w:r>
            <w:r>
              <w:rPr>
                <w:rFonts w:hint="eastAsia" w:ascii="Times New Roman" w:hAnsi="Times New Roman"/>
                <w:szCs w:val="21"/>
              </w:rPr>
              <w:t>项。</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r>
      <w:tr>
        <w:tblPrEx>
          <w:tblCellMar>
            <w:top w:w="0" w:type="dxa"/>
            <w:left w:w="0" w:type="dxa"/>
            <w:bottom w:w="0" w:type="dxa"/>
            <w:right w:w="0" w:type="dxa"/>
          </w:tblCellMar>
        </w:tblPrEx>
        <w:trPr>
          <w:trHeight w:val="882" w:hRule="atLeast"/>
        </w:trPr>
        <w:tc>
          <w:tcPr>
            <w:tcW w:w="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责任要求</w:t>
            </w:r>
            <w:r>
              <w:rPr>
                <w:rFonts w:hint="eastAsia" w:ascii="Times New Roman" w:hAnsi="Times New Roman"/>
                <w:kern w:val="0"/>
                <w:szCs w:val="21"/>
              </w:rPr>
              <w:t>（4分）</w:t>
            </w:r>
          </w:p>
        </w:tc>
        <w:tc>
          <w:tcPr>
            <w:tcW w:w="61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19</w:t>
            </w:r>
          </w:p>
        </w:tc>
        <w:tc>
          <w:tcPr>
            <w:tcW w:w="226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公共责任</w:t>
            </w: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1</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20" w:lineRule="exact"/>
              <w:rPr>
                <w:szCs w:val="21"/>
              </w:rPr>
            </w:pPr>
            <w:r>
              <w:rPr>
                <w:rFonts w:hint="eastAsia"/>
                <w:szCs w:val="21"/>
              </w:rPr>
              <w:t>明确检测活动、服务和运行对质量、安全、环保、节能、资源综合利用、公共卫生等方面产生的影响及采取的措施。</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hint="eastAsia"/>
                <w:szCs w:val="21"/>
              </w:rPr>
              <w:t>得</w:t>
            </w:r>
            <w:r>
              <w:rPr>
                <w:rFonts w:ascii="Times New Roman" w:hAnsi="Times New Roman"/>
                <w:szCs w:val="21"/>
              </w:rPr>
              <w:t>1</w:t>
            </w:r>
            <w:r>
              <w:rPr>
                <w:rFonts w:hint="eastAsia"/>
                <w:szCs w:val="21"/>
              </w:rPr>
              <w:t>分，否则不得分。</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r>
      <w:tr>
        <w:tblPrEx>
          <w:tblCellMar>
            <w:top w:w="0" w:type="dxa"/>
            <w:left w:w="0" w:type="dxa"/>
            <w:bottom w:w="0" w:type="dxa"/>
            <w:right w:w="0" w:type="dxa"/>
          </w:tblCellMar>
        </w:tblPrEx>
        <w:trPr>
          <w:trHeight w:val="811"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1</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20" w:lineRule="exact"/>
              <w:rPr>
                <w:szCs w:val="21"/>
              </w:rPr>
            </w:pPr>
            <w:r>
              <w:rPr>
                <w:rFonts w:hint="eastAsia"/>
                <w:szCs w:val="21"/>
              </w:rPr>
              <w:t>在检测、服务、运行中发现带有区域性、普遍性以及危及人身和财产安全的重大质量问题时，应及时向有关政府部门报告。</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hint="eastAsia"/>
                <w:szCs w:val="21"/>
              </w:rPr>
              <w:t>得</w:t>
            </w:r>
            <w:r>
              <w:rPr>
                <w:rFonts w:ascii="Times New Roman" w:hAnsi="Times New Roman"/>
                <w:szCs w:val="21"/>
              </w:rPr>
              <w:t>1</w:t>
            </w:r>
            <w:r>
              <w:rPr>
                <w:rFonts w:hint="eastAsia"/>
                <w:szCs w:val="21"/>
              </w:rPr>
              <w:t>分，否则不得分。</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20</w:t>
            </w:r>
          </w:p>
        </w:tc>
        <w:tc>
          <w:tcPr>
            <w:tcW w:w="2263" w:type="dxa"/>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ascii="Times New Roman" w:hAnsi="Times New Roman"/>
                <w:kern w:val="0"/>
                <w:szCs w:val="21"/>
              </w:rPr>
            </w:pPr>
            <w:r>
              <w:rPr>
                <w:rFonts w:hint="eastAsia" w:ascii="Times New Roman" w:hAnsi="Times New Roman"/>
                <w:kern w:val="0"/>
                <w:szCs w:val="21"/>
              </w:rPr>
              <w:t>危化品管控</w:t>
            </w:r>
          </w:p>
        </w:tc>
        <w:tc>
          <w:tcPr>
            <w:tcW w:w="989" w:type="dxa"/>
            <w:gridSpan w:val="2"/>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2</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rFonts w:ascii="Times New Roman" w:hAnsi="Times New Roman"/>
                <w:kern w:val="0"/>
                <w:szCs w:val="21"/>
              </w:rPr>
            </w:pPr>
            <w:r>
              <w:rPr>
                <w:rFonts w:hint="eastAsia" w:ascii="Times New Roman" w:hAnsi="Times New Roman"/>
                <w:kern w:val="0"/>
                <w:szCs w:val="21"/>
              </w:rPr>
              <w:t>建立健全使用危化品安全管理规章制度，并采取有效管控措施。</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
              <w:rPr>
                <w:rFonts w:hint="eastAsia"/>
                <w:szCs w:val="21"/>
              </w:rPr>
              <w:t>得</w:t>
            </w:r>
            <w:r>
              <w:rPr>
                <w:rFonts w:hint="eastAsia" w:ascii="Times New Roman" w:hAnsi="Times New Roman"/>
                <w:szCs w:val="21"/>
              </w:rPr>
              <w:t>2</w:t>
            </w:r>
            <w:r>
              <w:rPr>
                <w:rFonts w:hint="eastAsia"/>
                <w:szCs w:val="21"/>
              </w:rPr>
              <w:t>分，否则不得分。</w:t>
            </w:r>
          </w:p>
        </w:tc>
        <w:tc>
          <w:tcPr>
            <w:tcW w:w="1701" w:type="dxa"/>
            <w:tcBorders>
              <w:top w:val="single" w:color="auto" w:sz="4" w:space="0"/>
              <w:left w:val="single" w:color="auto" w:sz="4" w:space="0"/>
              <w:bottom w:val="single" w:color="auto" w:sz="4" w:space="0"/>
              <w:right w:val="single" w:color="auto" w:sz="4" w:space="0"/>
            </w:tcBorders>
          </w:tcPr>
          <w:p>
            <w:pPr>
              <w:rPr>
                <w:szCs w:val="21"/>
              </w:rPr>
            </w:pPr>
          </w:p>
        </w:tc>
        <w:tc>
          <w:tcPr>
            <w:tcW w:w="2409" w:type="dxa"/>
            <w:tcBorders>
              <w:top w:val="single" w:color="auto" w:sz="4" w:space="0"/>
              <w:left w:val="single" w:color="auto" w:sz="4" w:space="0"/>
              <w:bottom w:val="single" w:color="auto" w:sz="4" w:space="0"/>
              <w:right w:val="single" w:color="auto" w:sz="4" w:space="0"/>
            </w:tcBorders>
          </w:tcPr>
          <w:p>
            <w:pPr>
              <w:rPr>
                <w:szCs w:val="21"/>
              </w:rPr>
            </w:pPr>
          </w:p>
        </w:tc>
      </w:tr>
      <w:tr>
        <w:tblPrEx>
          <w:tblCellMar>
            <w:top w:w="0" w:type="dxa"/>
            <w:left w:w="0" w:type="dxa"/>
            <w:bottom w:w="0" w:type="dxa"/>
            <w:right w:w="0" w:type="dxa"/>
          </w:tblCellMar>
        </w:tblPrEx>
        <w:trPr>
          <w:trHeight w:val="454" w:hRule="atLeast"/>
        </w:trPr>
        <w:tc>
          <w:tcPr>
            <w:tcW w:w="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加分项</w:t>
            </w:r>
          </w:p>
          <w:p>
            <w:pPr>
              <w:widowControl/>
              <w:jc w:val="center"/>
              <w:textAlignment w:val="center"/>
              <w:rPr>
                <w:rFonts w:ascii="Times New Roman" w:hAnsi="Times New Roman"/>
                <w:kern w:val="0"/>
                <w:szCs w:val="21"/>
              </w:rPr>
            </w:pPr>
            <w:r>
              <w:rPr>
                <w:rFonts w:hint="eastAsia" w:ascii="Times New Roman" w:hAnsi="Times New Roman"/>
                <w:kern w:val="0"/>
                <w:szCs w:val="21"/>
              </w:rPr>
              <w:t>（10分）</w:t>
            </w:r>
          </w:p>
        </w:tc>
        <w:tc>
          <w:tcPr>
            <w:tcW w:w="6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21</w:t>
            </w:r>
          </w:p>
        </w:tc>
        <w:tc>
          <w:tcPr>
            <w:tcW w:w="22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szCs w:val="21"/>
              </w:rPr>
              <w:t>科研成果</w:t>
            </w: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szCs w:val="21"/>
              </w:rPr>
              <w:t>2</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20" w:lineRule="exact"/>
              <w:rPr>
                <w:rFonts w:ascii="Times New Roman" w:hAnsi="Times New Roman"/>
                <w:kern w:val="0"/>
                <w:szCs w:val="21"/>
              </w:rPr>
            </w:pPr>
            <w:r>
              <w:rPr>
                <w:rFonts w:hint="eastAsia"/>
                <w:szCs w:val="21"/>
              </w:rPr>
              <w:t>近</w:t>
            </w:r>
            <w:r>
              <w:rPr>
                <w:rFonts w:hint="eastAsia" w:ascii="Times New Roman" w:hAnsi="Times New Roman"/>
                <w:b/>
                <w:kern w:val="0"/>
                <w:szCs w:val="21"/>
              </w:rPr>
              <w:t>1</w:t>
            </w:r>
            <w:r>
              <w:rPr>
                <w:rFonts w:hint="eastAsia"/>
                <w:szCs w:val="21"/>
              </w:rPr>
              <w:t>年参与国家、省、市的重大质量技术活动，取得科研成果；主导、参与国标、省标的编制；与检测相关的发明专利。</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hint="eastAsia"/>
                <w:szCs w:val="21"/>
              </w:rPr>
              <w:t>国家级</w:t>
            </w:r>
            <w:r>
              <w:rPr>
                <w:rFonts w:ascii="Times New Roman" w:hAnsi="Times New Roman"/>
                <w:szCs w:val="21"/>
              </w:rPr>
              <w:t>2</w:t>
            </w:r>
            <w:r>
              <w:rPr>
                <w:rFonts w:hint="eastAsia"/>
                <w:szCs w:val="21"/>
              </w:rPr>
              <w:t>分</w:t>
            </w:r>
            <w:r>
              <w:rPr>
                <w:rFonts w:ascii="Times New Roman" w:hAnsi="Times New Roman"/>
                <w:szCs w:val="21"/>
              </w:rPr>
              <w:t>/</w:t>
            </w:r>
            <w:r>
              <w:rPr>
                <w:rFonts w:hint="eastAsia"/>
                <w:szCs w:val="21"/>
              </w:rPr>
              <w:t>项，省级</w:t>
            </w:r>
            <w:r>
              <w:rPr>
                <w:rFonts w:ascii="Times New Roman" w:hAnsi="Times New Roman"/>
                <w:szCs w:val="21"/>
              </w:rPr>
              <w:t>1</w:t>
            </w:r>
            <w:r>
              <w:rPr>
                <w:rFonts w:hint="eastAsia"/>
                <w:szCs w:val="21"/>
              </w:rPr>
              <w:t>分</w:t>
            </w:r>
            <w:r>
              <w:rPr>
                <w:rFonts w:ascii="Times New Roman" w:hAnsi="Times New Roman"/>
                <w:szCs w:val="21"/>
              </w:rPr>
              <w:t>/</w:t>
            </w:r>
            <w:r>
              <w:rPr>
                <w:rFonts w:hint="eastAsia"/>
                <w:szCs w:val="21"/>
              </w:rPr>
              <w:t>项，市级</w:t>
            </w:r>
            <w:r>
              <w:rPr>
                <w:rFonts w:ascii="Times New Roman" w:hAnsi="Times New Roman"/>
                <w:szCs w:val="21"/>
              </w:rPr>
              <w:t>0.5</w:t>
            </w:r>
            <w:r>
              <w:rPr>
                <w:rFonts w:hint="eastAsia"/>
                <w:szCs w:val="21"/>
              </w:rPr>
              <w:t>分</w:t>
            </w:r>
            <w:r>
              <w:rPr>
                <w:rFonts w:ascii="Times New Roman" w:hAnsi="Times New Roman"/>
                <w:szCs w:val="21"/>
              </w:rPr>
              <w:t>/</w:t>
            </w:r>
            <w:r>
              <w:rPr>
                <w:rFonts w:hint="eastAsia"/>
                <w:szCs w:val="21"/>
              </w:rPr>
              <w:t>项；发明专利1分/项。最多不超过</w:t>
            </w:r>
            <w:r>
              <w:rPr>
                <w:rFonts w:hint="eastAsia" w:ascii="Times New Roman" w:hAnsi="Times New Roman"/>
                <w:szCs w:val="21"/>
              </w:rPr>
              <w:t>2</w:t>
            </w:r>
            <w:r>
              <w:rPr>
                <w:rFonts w:hint="eastAsia"/>
                <w:szCs w:val="21"/>
              </w:rPr>
              <w:t>分。</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r>
      <w:tr>
        <w:tblPrEx>
          <w:tblCellMar>
            <w:top w:w="0" w:type="dxa"/>
            <w:left w:w="0" w:type="dxa"/>
            <w:bottom w:w="0" w:type="dxa"/>
            <w:right w:w="0" w:type="dxa"/>
          </w:tblCellMar>
        </w:tblPrEx>
        <w:trPr>
          <w:trHeight w:val="454" w:hRule="atLeast"/>
        </w:trPr>
        <w:tc>
          <w:tcPr>
            <w:tcW w:w="96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22</w:t>
            </w:r>
          </w:p>
        </w:tc>
        <w:tc>
          <w:tcPr>
            <w:tcW w:w="22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szCs w:val="21"/>
              </w:rPr>
            </w:pPr>
            <w:r>
              <w:rPr>
                <w:rFonts w:hint="eastAsia"/>
                <w:szCs w:val="21"/>
              </w:rPr>
              <w:t>技能竞赛</w:t>
            </w: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hint="eastAsia" w:ascii="Times New Roman" w:hAnsi="Times New Roman"/>
                <w:szCs w:val="21"/>
              </w:rPr>
              <w:t>3</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rFonts w:ascii="Times New Roman" w:hAnsi="Times New Roman"/>
                <w:b/>
                <w:kern w:val="0"/>
                <w:szCs w:val="21"/>
                <w:highlight w:val="yellow"/>
              </w:rPr>
            </w:pPr>
            <w:r>
              <w:rPr>
                <w:rFonts w:hint="eastAsia"/>
                <w:szCs w:val="21"/>
              </w:rPr>
              <w:t>近</w:t>
            </w:r>
            <w:r>
              <w:rPr>
                <w:rFonts w:hint="eastAsia" w:ascii="Times New Roman" w:hAnsi="Times New Roman"/>
                <w:b/>
                <w:kern w:val="0"/>
                <w:szCs w:val="21"/>
              </w:rPr>
              <w:t>1</w:t>
            </w:r>
            <w:r>
              <w:rPr>
                <w:rFonts w:hint="eastAsia"/>
                <w:szCs w:val="21"/>
              </w:rPr>
              <w:t>年参加市级以上技能竞赛获奖的。</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szCs w:val="21"/>
              </w:rPr>
            </w:pPr>
            <w:r>
              <w:rPr>
                <w:rFonts w:hint="eastAsia"/>
                <w:szCs w:val="21"/>
              </w:rPr>
              <w:t>省级3分，市级单位一等奖2分，单位二等奖1.5分，单位三等奖1分。</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r>
      <w:tr>
        <w:tblPrEx>
          <w:tblCellMar>
            <w:top w:w="0" w:type="dxa"/>
            <w:left w:w="0" w:type="dxa"/>
            <w:bottom w:w="0" w:type="dxa"/>
            <w:right w:w="0" w:type="dxa"/>
          </w:tblCellMar>
        </w:tblPrEx>
        <w:trPr>
          <w:trHeight w:val="454" w:hRule="atLeast"/>
        </w:trPr>
        <w:tc>
          <w:tcPr>
            <w:tcW w:w="96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23</w:t>
            </w:r>
          </w:p>
        </w:tc>
        <w:tc>
          <w:tcPr>
            <w:tcW w:w="22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szCs w:val="21"/>
              </w:rPr>
            </w:pPr>
            <w:r>
              <w:rPr>
                <w:rFonts w:hint="eastAsia"/>
                <w:szCs w:val="21"/>
              </w:rPr>
              <w:t>论文获奖</w:t>
            </w: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hint="eastAsia" w:ascii="Times New Roman" w:hAnsi="Times New Roman"/>
                <w:szCs w:val="21"/>
              </w:rPr>
              <w:t>2</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rFonts w:ascii="Times New Roman" w:hAnsi="Times New Roman"/>
                <w:b/>
                <w:kern w:val="0"/>
                <w:szCs w:val="21"/>
                <w:highlight w:val="yellow"/>
              </w:rPr>
            </w:pPr>
            <w:r>
              <w:rPr>
                <w:rFonts w:hint="eastAsia"/>
                <w:szCs w:val="21"/>
              </w:rPr>
              <w:t>近</w:t>
            </w:r>
            <w:r>
              <w:rPr>
                <w:rFonts w:hint="eastAsia" w:ascii="Times New Roman" w:hAnsi="Times New Roman"/>
                <w:b/>
                <w:kern w:val="0"/>
                <w:szCs w:val="21"/>
              </w:rPr>
              <w:t>1</w:t>
            </w:r>
            <w:r>
              <w:rPr>
                <w:rFonts w:hint="eastAsia"/>
                <w:szCs w:val="21"/>
              </w:rPr>
              <w:t>年在省土木学会检测专委会年会和华东片区工程质量监督年会论文征集中获奖的。</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szCs w:val="21"/>
              </w:rPr>
            </w:pPr>
            <w:r>
              <w:rPr>
                <w:rFonts w:hint="eastAsia"/>
                <w:szCs w:val="21"/>
              </w:rPr>
              <w:t>每篇0.5分，最多不超过</w:t>
            </w:r>
            <w:r>
              <w:rPr>
                <w:rFonts w:ascii="Times New Roman" w:hAnsi="Times New Roman"/>
                <w:szCs w:val="21"/>
              </w:rPr>
              <w:t>2</w:t>
            </w:r>
            <w:r>
              <w:rPr>
                <w:rFonts w:hint="eastAsia"/>
                <w:szCs w:val="21"/>
              </w:rPr>
              <w:t>分。</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r>
      <w:tr>
        <w:tblPrEx>
          <w:tblCellMar>
            <w:top w:w="0" w:type="dxa"/>
            <w:left w:w="0" w:type="dxa"/>
            <w:bottom w:w="0" w:type="dxa"/>
            <w:right w:w="0" w:type="dxa"/>
          </w:tblCellMar>
        </w:tblPrEx>
        <w:trPr>
          <w:trHeight w:val="454" w:hRule="atLeast"/>
        </w:trPr>
        <w:tc>
          <w:tcPr>
            <w:tcW w:w="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textAlignment w:val="center"/>
              <w:rPr>
                <w:rFonts w:ascii="Times New Roman" w:hAnsi="Times New Roman"/>
                <w:kern w:val="0"/>
                <w:szCs w:val="21"/>
              </w:rPr>
            </w:pPr>
          </w:p>
        </w:tc>
        <w:tc>
          <w:tcPr>
            <w:tcW w:w="6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24</w:t>
            </w:r>
          </w:p>
        </w:tc>
        <w:tc>
          <w:tcPr>
            <w:tcW w:w="22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szCs w:val="21"/>
              </w:rPr>
              <w:t>检测机构获得荣誉及表彰</w:t>
            </w: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szCs w:val="21"/>
              </w:rPr>
              <w:t>2</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0" w:lineRule="atLeast"/>
              <w:textAlignment w:val="center"/>
              <w:rPr>
                <w:rFonts w:ascii="Times New Roman" w:hAnsi="Times New Roman"/>
                <w:kern w:val="0"/>
                <w:szCs w:val="21"/>
              </w:rPr>
            </w:pPr>
            <w:r>
              <w:rPr>
                <w:rFonts w:hint="eastAsia"/>
                <w:szCs w:val="21"/>
              </w:rPr>
              <w:t>各级政府及行政管理部门颁发的奖励及荣誉。</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hint="eastAsia"/>
                <w:szCs w:val="21"/>
              </w:rPr>
              <w:t>国家级</w:t>
            </w:r>
            <w:r>
              <w:rPr>
                <w:rFonts w:ascii="Times New Roman" w:hAnsi="Times New Roman"/>
                <w:szCs w:val="21"/>
              </w:rPr>
              <w:t>2</w:t>
            </w:r>
            <w:r>
              <w:rPr>
                <w:rFonts w:hint="eastAsia"/>
                <w:szCs w:val="21"/>
              </w:rPr>
              <w:t>分</w:t>
            </w:r>
            <w:r>
              <w:rPr>
                <w:rFonts w:ascii="Times New Roman" w:hAnsi="Times New Roman"/>
                <w:szCs w:val="21"/>
              </w:rPr>
              <w:t>/</w:t>
            </w:r>
            <w:r>
              <w:rPr>
                <w:rFonts w:hint="eastAsia"/>
                <w:szCs w:val="21"/>
              </w:rPr>
              <w:t>项，省级</w:t>
            </w:r>
            <w:r>
              <w:rPr>
                <w:rFonts w:ascii="Times New Roman" w:hAnsi="Times New Roman"/>
                <w:szCs w:val="21"/>
              </w:rPr>
              <w:t>1</w:t>
            </w:r>
            <w:r>
              <w:rPr>
                <w:rFonts w:hint="eastAsia"/>
                <w:szCs w:val="21"/>
              </w:rPr>
              <w:t>分</w:t>
            </w:r>
            <w:r>
              <w:rPr>
                <w:rFonts w:ascii="Times New Roman" w:hAnsi="Times New Roman"/>
                <w:szCs w:val="21"/>
              </w:rPr>
              <w:t>/</w:t>
            </w:r>
            <w:r>
              <w:rPr>
                <w:rFonts w:hint="eastAsia"/>
                <w:szCs w:val="21"/>
              </w:rPr>
              <w:t>项，市级</w:t>
            </w:r>
            <w:r>
              <w:rPr>
                <w:rFonts w:ascii="Times New Roman" w:hAnsi="Times New Roman"/>
                <w:szCs w:val="21"/>
              </w:rPr>
              <w:t>0.5</w:t>
            </w:r>
            <w:r>
              <w:rPr>
                <w:rFonts w:hint="eastAsia"/>
                <w:szCs w:val="21"/>
              </w:rPr>
              <w:t>分</w:t>
            </w:r>
            <w:r>
              <w:rPr>
                <w:rFonts w:ascii="Times New Roman" w:hAnsi="Times New Roman"/>
                <w:szCs w:val="21"/>
              </w:rPr>
              <w:t>/</w:t>
            </w:r>
            <w:r>
              <w:rPr>
                <w:rFonts w:hint="eastAsia"/>
                <w:szCs w:val="21"/>
              </w:rPr>
              <w:t>项。最多不超过</w:t>
            </w:r>
            <w:r>
              <w:rPr>
                <w:rFonts w:ascii="Times New Roman" w:hAnsi="Times New Roman"/>
                <w:szCs w:val="21"/>
              </w:rPr>
              <w:t>2</w:t>
            </w:r>
            <w:r>
              <w:rPr>
                <w:rFonts w:hint="eastAsia"/>
                <w:szCs w:val="21"/>
              </w:rPr>
              <w:t>分。</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textAlignment w:val="center"/>
              <w:rPr>
                <w:rFonts w:ascii="Times New Roman" w:hAnsi="Times New Roman"/>
                <w:kern w:val="0"/>
                <w:szCs w:val="21"/>
              </w:rPr>
            </w:pPr>
          </w:p>
        </w:tc>
        <w:tc>
          <w:tcPr>
            <w:tcW w:w="6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5</w:t>
            </w:r>
          </w:p>
        </w:tc>
        <w:tc>
          <w:tcPr>
            <w:tcW w:w="22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szCs w:val="21"/>
              </w:rPr>
            </w:pPr>
            <w:r>
              <w:rPr>
                <w:rFonts w:ascii="Times New Roman" w:hAnsi="Times New Roman"/>
                <w:szCs w:val="21"/>
              </w:rPr>
              <w:t>CNAS</w:t>
            </w:r>
            <w:r>
              <w:rPr>
                <w:rFonts w:hint="eastAsia"/>
                <w:szCs w:val="21"/>
              </w:rPr>
              <w:t>认可</w:t>
            </w: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szCs w:val="21"/>
              </w:rPr>
            </w:pPr>
            <w:r>
              <w:rPr>
                <w:rFonts w:hint="eastAsia" w:ascii="Times New Roman" w:hAnsi="Times New Roman"/>
                <w:kern w:val="0"/>
                <w:szCs w:val="21"/>
              </w:rPr>
              <w:t>1</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0" w:lineRule="atLeast"/>
              <w:textAlignment w:val="center"/>
              <w:rPr>
                <w:szCs w:val="21"/>
              </w:rPr>
            </w:pPr>
            <w:r>
              <w:rPr>
                <w:rFonts w:hint="eastAsia"/>
                <w:szCs w:val="21"/>
              </w:rPr>
              <w:t>通过</w:t>
            </w:r>
            <w:r>
              <w:rPr>
                <w:rFonts w:ascii="Times New Roman" w:hAnsi="Times New Roman"/>
                <w:szCs w:val="21"/>
              </w:rPr>
              <w:t>CNAS</w:t>
            </w:r>
            <w:r>
              <w:rPr>
                <w:rFonts w:hint="eastAsia"/>
                <w:szCs w:val="21"/>
              </w:rPr>
              <w:t>认可或省级标准化良好3A以上认证的。</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szCs w:val="21"/>
              </w:rPr>
            </w:pPr>
            <w:r>
              <w:rPr>
                <w:rFonts w:hint="eastAsia"/>
                <w:szCs w:val="21"/>
              </w:rPr>
              <w:t>得1分，否则不得分。</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widowControl/>
              <w:jc w:val="left"/>
              <w:textAlignment w:val="center"/>
              <w:rPr>
                <w:szCs w:val="21"/>
              </w:rPr>
            </w:pPr>
          </w:p>
        </w:tc>
      </w:tr>
      <w:tr>
        <w:tblPrEx>
          <w:tblCellMar>
            <w:top w:w="0" w:type="dxa"/>
            <w:left w:w="0" w:type="dxa"/>
            <w:bottom w:w="0" w:type="dxa"/>
            <w:right w:w="0" w:type="dxa"/>
          </w:tblCellMar>
        </w:tblPrEx>
        <w:trPr>
          <w:trHeight w:val="454" w:hRule="atLeast"/>
        </w:trPr>
        <w:tc>
          <w:tcPr>
            <w:tcW w:w="96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扣分项</w:t>
            </w:r>
          </w:p>
        </w:tc>
        <w:tc>
          <w:tcPr>
            <w:tcW w:w="61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6</w:t>
            </w:r>
          </w:p>
        </w:tc>
        <w:tc>
          <w:tcPr>
            <w:tcW w:w="226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检测行为</w:t>
            </w:r>
          </w:p>
        </w:tc>
        <w:tc>
          <w:tcPr>
            <w:tcW w:w="98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rFonts w:ascii="Times New Roman" w:hAnsi="Times New Roman"/>
                <w:kern w:val="0"/>
                <w:szCs w:val="21"/>
              </w:rPr>
            </w:pPr>
            <w:r>
              <w:rPr>
                <w:rFonts w:hint="eastAsia"/>
                <w:szCs w:val="21"/>
              </w:rPr>
              <w:t>机构被省、市以上建设行政管理部门或市场监管部门记有不良记录。</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textAlignment w:val="center"/>
              <w:rPr>
                <w:rFonts w:ascii="Times New Roman" w:hAnsi="Times New Roman"/>
                <w:kern w:val="0"/>
                <w:szCs w:val="21"/>
              </w:rPr>
            </w:pPr>
            <w:r>
              <w:rPr>
                <w:rFonts w:hint="eastAsia"/>
                <w:szCs w:val="21"/>
              </w:rPr>
              <w:t>被省级以上建设行政管理部门或市场监管部门记不良记录的－8分/次；被市建设行政管理部门或市场监管部门记不良记录的－5分/次；一年中有两次被记不良记录的，列入D类。</w:t>
            </w:r>
          </w:p>
        </w:tc>
        <w:tc>
          <w:tcPr>
            <w:tcW w:w="1701" w:type="dxa"/>
            <w:tcBorders>
              <w:top w:val="single" w:color="auto" w:sz="4" w:space="0"/>
              <w:left w:val="single" w:color="auto" w:sz="4" w:space="0"/>
              <w:bottom w:val="single" w:color="auto" w:sz="4" w:space="0"/>
              <w:right w:val="single" w:color="auto" w:sz="4" w:space="0"/>
            </w:tcBorders>
          </w:tcPr>
          <w:p>
            <w:pPr>
              <w:widowControl/>
              <w:textAlignment w:val="center"/>
              <w:rPr>
                <w:szCs w:val="21"/>
              </w:rPr>
            </w:pPr>
          </w:p>
        </w:tc>
        <w:tc>
          <w:tcPr>
            <w:tcW w:w="2409" w:type="dxa"/>
            <w:tcBorders>
              <w:top w:val="single" w:color="auto" w:sz="4" w:space="0"/>
              <w:left w:val="single" w:color="auto" w:sz="4" w:space="0"/>
              <w:bottom w:val="single" w:color="auto" w:sz="4" w:space="0"/>
              <w:right w:val="single" w:color="auto" w:sz="4" w:space="0"/>
            </w:tcBorders>
          </w:tcPr>
          <w:p>
            <w:pPr>
              <w:widowControl/>
              <w:textAlignment w:val="center"/>
              <w:rPr>
                <w:szCs w:val="21"/>
              </w:rPr>
            </w:pPr>
          </w:p>
        </w:tc>
      </w:tr>
      <w:tr>
        <w:tblPrEx>
          <w:tblCellMar>
            <w:top w:w="0" w:type="dxa"/>
            <w:left w:w="0" w:type="dxa"/>
            <w:bottom w:w="0" w:type="dxa"/>
            <w:right w:w="0" w:type="dxa"/>
          </w:tblCellMar>
        </w:tblPrEx>
        <w:trPr>
          <w:trHeight w:val="1275" w:hRule="atLeast"/>
        </w:trPr>
        <w:tc>
          <w:tcPr>
            <w:tcW w:w="96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rFonts w:ascii="Times New Roman" w:hAnsi="Times New Roman"/>
                <w:kern w:val="0"/>
                <w:szCs w:val="21"/>
              </w:rPr>
            </w:pPr>
            <w:r>
              <w:rPr>
                <w:rFonts w:hint="eastAsia"/>
                <w:szCs w:val="21"/>
              </w:rPr>
              <w:t>机构被省市以上建设行政管理部门或市场监管部门通报批评（能力验证除外）。</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
              <w:rPr>
                <w:rFonts w:hint="eastAsia"/>
                <w:szCs w:val="21"/>
              </w:rPr>
              <w:t>被省级以上建设行政管理部门或市场监管部门通报批评</w:t>
            </w:r>
          </w:p>
        </w:tc>
        <w:tc>
          <w:tcPr>
            <w:tcW w:w="1701" w:type="dxa"/>
            <w:tcBorders>
              <w:top w:val="single" w:color="auto" w:sz="4" w:space="0"/>
              <w:left w:val="single" w:color="auto" w:sz="4" w:space="0"/>
              <w:bottom w:val="single" w:color="auto" w:sz="4" w:space="0"/>
              <w:right w:val="single" w:color="auto" w:sz="4" w:space="0"/>
            </w:tcBorders>
          </w:tcPr>
          <w:p>
            <w:pPr>
              <w:rPr>
                <w:szCs w:val="21"/>
              </w:rPr>
            </w:pPr>
          </w:p>
        </w:tc>
        <w:tc>
          <w:tcPr>
            <w:tcW w:w="2409" w:type="dxa"/>
            <w:tcBorders>
              <w:top w:val="single" w:color="auto" w:sz="4" w:space="0"/>
              <w:left w:val="single" w:color="auto" w:sz="4" w:space="0"/>
              <w:bottom w:val="single" w:color="auto" w:sz="4" w:space="0"/>
              <w:right w:val="single" w:color="auto" w:sz="4" w:space="0"/>
            </w:tcBorders>
          </w:tcPr>
          <w:p>
            <w:pPr>
              <w:rPr>
                <w:szCs w:val="21"/>
              </w:rPr>
            </w:pPr>
          </w:p>
        </w:tc>
      </w:tr>
      <w:tr>
        <w:tblPrEx>
          <w:tblCellMar>
            <w:top w:w="0" w:type="dxa"/>
            <w:left w:w="0" w:type="dxa"/>
            <w:bottom w:w="0" w:type="dxa"/>
            <w:right w:w="0" w:type="dxa"/>
          </w:tblCellMar>
        </w:tblPrEx>
        <w:trPr>
          <w:trHeight w:val="2454" w:hRule="atLeast"/>
        </w:trPr>
        <w:tc>
          <w:tcPr>
            <w:tcW w:w="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textAlignment w:val="center"/>
              <w:rPr>
                <w:rFonts w:ascii="Times New Roman" w:hAnsi="Times New Roman"/>
                <w:kern w:val="0"/>
                <w:szCs w:val="21"/>
              </w:rPr>
            </w:pPr>
          </w:p>
        </w:tc>
        <w:tc>
          <w:tcPr>
            <w:tcW w:w="61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textAlignment w:val="center"/>
              <w:rPr>
                <w:rFonts w:ascii="Times New Roman" w:hAnsi="Times New Roman"/>
                <w:kern w:val="0"/>
                <w:szCs w:val="21"/>
              </w:rPr>
            </w:pPr>
          </w:p>
        </w:tc>
        <w:tc>
          <w:tcPr>
            <w:tcW w:w="22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textAlignment w:val="center"/>
              <w:rPr>
                <w:rFonts w:ascii="Times New Roman" w:hAnsi="Times New Roman"/>
                <w:kern w:val="0"/>
                <w:szCs w:val="21"/>
              </w:rPr>
            </w:pPr>
          </w:p>
        </w:tc>
        <w:tc>
          <w:tcPr>
            <w:tcW w:w="989"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szCs w:val="21"/>
              </w:rPr>
            </w:pP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rPr>
                <w:szCs w:val="21"/>
              </w:rPr>
            </w:pPr>
            <w:r>
              <w:rPr>
                <w:rFonts w:hint="eastAsia"/>
                <w:szCs w:val="21"/>
              </w:rPr>
              <w:t>－5分/次；被市建设行政管理部门或市场监管部门通报批评－3分/次；一年中有两次被通报批评，列入D类。</w:t>
            </w:r>
          </w:p>
        </w:tc>
        <w:tc>
          <w:tcPr>
            <w:tcW w:w="1701" w:type="dxa"/>
            <w:tcBorders>
              <w:top w:val="single" w:color="auto" w:sz="4" w:space="0"/>
              <w:left w:val="single" w:color="auto" w:sz="4" w:space="0"/>
              <w:bottom w:val="single" w:color="auto" w:sz="4" w:space="0"/>
              <w:right w:val="single" w:color="auto" w:sz="4" w:space="0"/>
            </w:tcBorders>
          </w:tcPr>
          <w:p>
            <w:pPr>
              <w:rPr>
                <w:szCs w:val="21"/>
              </w:rPr>
            </w:pPr>
          </w:p>
        </w:tc>
        <w:tc>
          <w:tcPr>
            <w:tcW w:w="2409" w:type="dxa"/>
            <w:tcBorders>
              <w:top w:val="single" w:color="auto" w:sz="4" w:space="0"/>
              <w:left w:val="single" w:color="auto" w:sz="4" w:space="0"/>
              <w:bottom w:val="single" w:color="auto" w:sz="4" w:space="0"/>
              <w:right w:val="single" w:color="auto" w:sz="4" w:space="0"/>
            </w:tcBorders>
          </w:tcPr>
          <w:p>
            <w:pPr>
              <w:rPr>
                <w:szCs w:val="21"/>
              </w:rPr>
            </w:pPr>
          </w:p>
        </w:tc>
      </w:tr>
      <w:tr>
        <w:tblPrEx>
          <w:tblCellMar>
            <w:top w:w="0" w:type="dxa"/>
            <w:left w:w="0" w:type="dxa"/>
            <w:bottom w:w="0" w:type="dxa"/>
            <w:right w:w="0" w:type="dxa"/>
          </w:tblCellMar>
        </w:tblPrEx>
        <w:trPr>
          <w:trHeight w:val="454"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22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0" w:lineRule="atLeast"/>
              <w:rPr>
                <w:rFonts w:ascii="Times New Roman" w:hAnsi="Times New Roman"/>
                <w:kern w:val="0"/>
                <w:szCs w:val="21"/>
              </w:rPr>
            </w:pPr>
            <w:r>
              <w:rPr>
                <w:rFonts w:hint="eastAsia"/>
                <w:szCs w:val="21"/>
              </w:rPr>
              <w:t>未按规定上报发现的检测不合格事项以及不合格报告。</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
              <w:rPr>
                <w:rFonts w:hint="eastAsia"/>
                <w:szCs w:val="21"/>
              </w:rPr>
              <w:t>上报达不到要求的－2分/次。</w:t>
            </w:r>
          </w:p>
        </w:tc>
        <w:tc>
          <w:tcPr>
            <w:tcW w:w="1701" w:type="dxa"/>
            <w:tcBorders>
              <w:top w:val="single" w:color="auto" w:sz="4" w:space="0"/>
              <w:left w:val="single" w:color="auto" w:sz="4" w:space="0"/>
              <w:bottom w:val="single" w:color="auto" w:sz="4" w:space="0"/>
              <w:right w:val="single" w:color="auto" w:sz="4" w:space="0"/>
            </w:tcBorders>
          </w:tcPr>
          <w:p>
            <w:pPr>
              <w:rPr>
                <w:szCs w:val="21"/>
              </w:rPr>
            </w:pPr>
          </w:p>
        </w:tc>
        <w:tc>
          <w:tcPr>
            <w:tcW w:w="2409" w:type="dxa"/>
            <w:tcBorders>
              <w:top w:val="single" w:color="auto" w:sz="4" w:space="0"/>
              <w:left w:val="single" w:color="auto" w:sz="4" w:space="0"/>
              <w:bottom w:val="single" w:color="auto" w:sz="4" w:space="0"/>
              <w:right w:val="single" w:color="auto" w:sz="4" w:space="0"/>
            </w:tcBorders>
          </w:tcPr>
          <w:p>
            <w:pPr>
              <w:rPr>
                <w:szCs w:val="21"/>
              </w:rPr>
            </w:pPr>
          </w:p>
        </w:tc>
      </w:tr>
      <w:tr>
        <w:tblPrEx>
          <w:tblCellMar>
            <w:top w:w="0" w:type="dxa"/>
            <w:left w:w="0" w:type="dxa"/>
            <w:bottom w:w="0" w:type="dxa"/>
            <w:right w:w="0" w:type="dxa"/>
          </w:tblCellMar>
        </w:tblPrEx>
        <w:trPr>
          <w:trHeight w:val="1072" w:hRule="atLeast"/>
        </w:trPr>
        <w:tc>
          <w:tcPr>
            <w:tcW w:w="963"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否决项</w:t>
            </w:r>
          </w:p>
        </w:tc>
        <w:tc>
          <w:tcPr>
            <w:tcW w:w="6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7</w:t>
            </w:r>
          </w:p>
        </w:tc>
        <w:tc>
          <w:tcPr>
            <w:tcW w:w="226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违反《建设工程质量检测管理办法》</w:t>
            </w: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0" w:lineRule="atLeast"/>
              <w:rPr>
                <w:szCs w:val="21"/>
              </w:rPr>
            </w:pPr>
            <w:r>
              <w:rPr>
                <w:szCs w:val="21"/>
              </w:rPr>
              <w:t>未取得相应资质证书承揽检测业务或超出CMA</w:t>
            </w:r>
            <w:r>
              <w:rPr>
                <w:rFonts w:hint="eastAsia"/>
                <w:szCs w:val="21"/>
              </w:rPr>
              <w:t>认证</w:t>
            </w:r>
            <w:r>
              <w:rPr>
                <w:szCs w:val="21"/>
              </w:rPr>
              <w:t>参数范围从事检测活动的</w:t>
            </w:r>
            <w:r>
              <w:rPr>
                <w:rFonts w:hint="eastAsia"/>
                <w:szCs w:val="21"/>
              </w:rPr>
              <w:t>。</w:t>
            </w:r>
            <w:r>
              <w:rPr>
                <w:szCs w:val="21"/>
              </w:rPr>
              <w:t>　　　</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ascii="Times New Roman" w:hAnsi="Times New Roman"/>
                <w:kern w:val="0"/>
                <w:szCs w:val="21"/>
              </w:rPr>
              <w:t>终止评价</w:t>
            </w:r>
            <w:r>
              <w:rPr>
                <w:rFonts w:hint="eastAsia" w:ascii="Times New Roman" w:hAnsi="Times New Roman"/>
                <w:kern w:val="0"/>
                <w:szCs w:val="21"/>
              </w:rPr>
              <w:t>。</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Times New Roman" w:hAnsi="Times New Roman"/>
                <w:kern w:val="0"/>
                <w:szCs w:val="21"/>
              </w:rPr>
            </w:pPr>
          </w:p>
        </w:tc>
        <w:tc>
          <w:tcPr>
            <w:tcW w:w="240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Times New Roman" w:hAnsi="Times New Roman"/>
                <w:kern w:val="0"/>
                <w:szCs w:val="21"/>
              </w:rPr>
            </w:pPr>
          </w:p>
        </w:tc>
      </w:tr>
      <w:tr>
        <w:tblPrEx>
          <w:tblCellMar>
            <w:top w:w="0" w:type="dxa"/>
            <w:left w:w="0" w:type="dxa"/>
            <w:bottom w:w="0" w:type="dxa"/>
            <w:right w:w="0" w:type="dxa"/>
          </w:tblCellMar>
        </w:tblPrEx>
        <w:trPr>
          <w:trHeight w:val="831" w:hRule="atLeast"/>
        </w:trPr>
        <w:tc>
          <w:tcPr>
            <w:tcW w:w="963" w:type="dxa"/>
            <w:vMerge w:val="continue"/>
            <w:tcBorders>
              <w:left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28</w:t>
            </w:r>
          </w:p>
        </w:tc>
        <w:tc>
          <w:tcPr>
            <w:tcW w:w="226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0" w:lineRule="atLeast"/>
              <w:rPr>
                <w:szCs w:val="21"/>
              </w:rPr>
            </w:pPr>
            <w:r>
              <w:rPr>
                <w:szCs w:val="21"/>
              </w:rPr>
              <w:t>隐瞒有关情况或提供虚假材料等欺骗手段取得资质证书的</w:t>
            </w:r>
            <w:r>
              <w:rPr>
                <w:rFonts w:hint="eastAsia"/>
                <w:szCs w:val="21"/>
              </w:rPr>
              <w:t>。</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ascii="Times New Roman" w:hAnsi="Times New Roman"/>
                <w:kern w:val="0"/>
                <w:szCs w:val="21"/>
              </w:rPr>
              <w:t>终止评价</w:t>
            </w:r>
            <w:r>
              <w:rPr>
                <w:rFonts w:hint="eastAsia" w:ascii="Times New Roman" w:hAnsi="Times New Roman"/>
                <w:kern w:val="0"/>
                <w:szCs w:val="21"/>
              </w:rPr>
              <w:t>。</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Times New Roman" w:hAnsi="Times New Roman"/>
                <w:kern w:val="0"/>
                <w:szCs w:val="21"/>
              </w:rPr>
            </w:pPr>
          </w:p>
        </w:tc>
        <w:tc>
          <w:tcPr>
            <w:tcW w:w="240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Times New Roman" w:hAnsi="Times New Roman"/>
                <w:kern w:val="0"/>
                <w:szCs w:val="21"/>
              </w:rPr>
            </w:pPr>
          </w:p>
        </w:tc>
      </w:tr>
      <w:tr>
        <w:tblPrEx>
          <w:tblCellMar>
            <w:top w:w="0" w:type="dxa"/>
            <w:left w:w="0" w:type="dxa"/>
            <w:bottom w:w="0" w:type="dxa"/>
            <w:right w:w="0" w:type="dxa"/>
          </w:tblCellMar>
        </w:tblPrEx>
        <w:trPr>
          <w:trHeight w:val="688" w:hRule="atLeast"/>
        </w:trPr>
        <w:tc>
          <w:tcPr>
            <w:tcW w:w="963"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29</w:t>
            </w:r>
          </w:p>
        </w:tc>
        <w:tc>
          <w:tcPr>
            <w:tcW w:w="226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0" w:lineRule="atLeast"/>
              <w:rPr>
                <w:szCs w:val="21"/>
              </w:rPr>
            </w:pPr>
            <w:r>
              <w:rPr>
                <w:szCs w:val="21"/>
              </w:rPr>
              <w:t>涂改、倒卖、出租、出借或者以其他形式非法转让资质证书的</w:t>
            </w:r>
            <w:r>
              <w:rPr>
                <w:rFonts w:hint="eastAsia"/>
                <w:szCs w:val="21"/>
              </w:rPr>
              <w:t>。</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ascii="Times New Roman" w:hAnsi="Times New Roman"/>
                <w:kern w:val="0"/>
                <w:szCs w:val="21"/>
              </w:rPr>
              <w:t>终止评价</w:t>
            </w:r>
            <w:r>
              <w:rPr>
                <w:rFonts w:hint="eastAsia" w:ascii="Times New Roman" w:hAnsi="Times New Roman"/>
                <w:kern w:val="0"/>
                <w:szCs w:val="21"/>
              </w:rPr>
              <w:t>。</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Times New Roman" w:hAnsi="Times New Roman"/>
                <w:kern w:val="0"/>
                <w:szCs w:val="21"/>
              </w:rPr>
            </w:pPr>
          </w:p>
        </w:tc>
        <w:tc>
          <w:tcPr>
            <w:tcW w:w="240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Times New Roman" w:hAnsi="Times New Roman"/>
                <w:kern w:val="0"/>
                <w:szCs w:val="21"/>
              </w:rPr>
            </w:pPr>
          </w:p>
        </w:tc>
      </w:tr>
      <w:tr>
        <w:tblPrEx>
          <w:tblCellMar>
            <w:top w:w="0" w:type="dxa"/>
            <w:left w:w="0" w:type="dxa"/>
            <w:bottom w:w="0" w:type="dxa"/>
            <w:right w:w="0" w:type="dxa"/>
          </w:tblCellMar>
        </w:tblPrEx>
        <w:trPr>
          <w:trHeight w:val="953" w:hRule="atLeast"/>
        </w:trPr>
        <w:tc>
          <w:tcPr>
            <w:tcW w:w="96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6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0</w:t>
            </w:r>
          </w:p>
        </w:tc>
        <w:tc>
          <w:tcPr>
            <w:tcW w:w="226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0" w:lineRule="atLeast"/>
              <w:rPr>
                <w:szCs w:val="21"/>
              </w:rPr>
            </w:pPr>
            <w:r>
              <w:rPr>
                <w:szCs w:val="21"/>
              </w:rPr>
              <w:t>未按照国家有关工程建设强制性标准进行检测，造成质量安全事故或致使事故损失扩大的</w:t>
            </w:r>
            <w:r>
              <w:rPr>
                <w:rFonts w:hint="eastAsia"/>
                <w:szCs w:val="21"/>
              </w:rPr>
              <w:t>。</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ascii="Times New Roman" w:hAnsi="Times New Roman"/>
                <w:kern w:val="0"/>
                <w:szCs w:val="21"/>
              </w:rPr>
              <w:t>终止评价</w:t>
            </w:r>
            <w:r>
              <w:rPr>
                <w:rFonts w:hint="eastAsia" w:ascii="Times New Roman" w:hAnsi="Times New Roman"/>
                <w:kern w:val="0"/>
                <w:szCs w:val="21"/>
              </w:rPr>
              <w:t>。</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Times New Roman" w:hAnsi="Times New Roman"/>
                <w:kern w:val="0"/>
                <w:szCs w:val="21"/>
              </w:rPr>
            </w:pPr>
          </w:p>
        </w:tc>
        <w:tc>
          <w:tcPr>
            <w:tcW w:w="240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Times New Roman" w:hAnsi="Times New Roman"/>
                <w:kern w:val="0"/>
                <w:szCs w:val="21"/>
              </w:rPr>
            </w:pPr>
          </w:p>
        </w:tc>
      </w:tr>
      <w:tr>
        <w:tblPrEx>
          <w:tblCellMar>
            <w:top w:w="0" w:type="dxa"/>
            <w:left w:w="0" w:type="dxa"/>
            <w:bottom w:w="0" w:type="dxa"/>
            <w:right w:w="0" w:type="dxa"/>
          </w:tblCellMar>
        </w:tblPrEx>
        <w:trPr>
          <w:trHeight w:val="698" w:hRule="atLeast"/>
        </w:trPr>
        <w:tc>
          <w:tcPr>
            <w:tcW w:w="9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Times New Roman" w:hAnsi="Times New Roman"/>
                <w:kern w:val="0"/>
                <w:szCs w:val="21"/>
              </w:rPr>
            </w:pPr>
          </w:p>
        </w:tc>
        <w:tc>
          <w:tcPr>
            <w:tcW w:w="6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31</w:t>
            </w:r>
          </w:p>
        </w:tc>
        <w:tc>
          <w:tcPr>
            <w:tcW w:w="226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textAlignment w:val="center"/>
              <w:rPr>
                <w:rFonts w:ascii="Times New Roman" w:hAnsi="Times New Roman"/>
                <w:kern w:val="0"/>
                <w:szCs w:val="21"/>
              </w:rPr>
            </w:pPr>
          </w:p>
        </w:tc>
        <w:tc>
          <w:tcPr>
            <w:tcW w:w="98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ascii="Times New Roman" w:hAnsi="Times New Roman"/>
                <w:kern w:val="0"/>
                <w:szCs w:val="21"/>
              </w:rPr>
              <w:t>/</w:t>
            </w:r>
          </w:p>
        </w:tc>
        <w:tc>
          <w:tcPr>
            <w:tcW w:w="39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0" w:lineRule="atLeast"/>
              <w:rPr>
                <w:szCs w:val="21"/>
              </w:rPr>
            </w:pPr>
            <w:r>
              <w:rPr>
                <w:szCs w:val="21"/>
              </w:rPr>
              <w:t>伪造检测数据，出具虚假检测报告或者鉴定结论的</w:t>
            </w:r>
            <w:r>
              <w:rPr>
                <w:rFonts w:hint="eastAsia"/>
                <w:szCs w:val="21"/>
              </w:rPr>
              <w:t>。</w:t>
            </w:r>
          </w:p>
        </w:tc>
        <w:tc>
          <w:tcPr>
            <w:tcW w:w="129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Times New Roman" w:hAnsi="Times New Roman"/>
                <w:kern w:val="0"/>
                <w:szCs w:val="21"/>
              </w:rPr>
            </w:pPr>
            <w:r>
              <w:rPr>
                <w:rFonts w:ascii="Times New Roman" w:hAnsi="Times New Roman"/>
                <w:kern w:val="0"/>
                <w:szCs w:val="21"/>
              </w:rPr>
              <w:t>终止评价</w:t>
            </w:r>
            <w:r>
              <w:rPr>
                <w:rFonts w:hint="eastAsia" w:ascii="Times New Roman" w:hAnsi="Times New Roman"/>
                <w:kern w:val="0"/>
                <w:szCs w:val="21"/>
              </w:rPr>
              <w:t>。</w:t>
            </w:r>
          </w:p>
        </w:tc>
        <w:tc>
          <w:tcPr>
            <w:tcW w:w="1701"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Times New Roman" w:hAnsi="Times New Roman"/>
                <w:kern w:val="0"/>
                <w:szCs w:val="21"/>
              </w:rPr>
            </w:pPr>
          </w:p>
        </w:tc>
        <w:tc>
          <w:tcPr>
            <w:tcW w:w="240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Times New Roman" w:hAnsi="Times New Roman"/>
                <w:kern w:val="0"/>
                <w:szCs w:val="21"/>
              </w:rPr>
            </w:pPr>
          </w:p>
        </w:tc>
      </w:tr>
      <w:tr>
        <w:tblPrEx>
          <w:tblCellMar>
            <w:top w:w="0" w:type="dxa"/>
            <w:left w:w="0" w:type="dxa"/>
            <w:bottom w:w="0" w:type="dxa"/>
            <w:right w:w="0" w:type="dxa"/>
          </w:tblCellMar>
        </w:tblPrEx>
        <w:trPr>
          <w:trHeight w:val="454" w:hRule="atLeast"/>
        </w:trPr>
        <w:tc>
          <w:tcPr>
            <w:tcW w:w="3843"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合计</w:t>
            </w:r>
          </w:p>
        </w:tc>
        <w:tc>
          <w:tcPr>
            <w:tcW w:w="4961"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kern w:val="0"/>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kern w:val="0"/>
                <w:szCs w:val="21"/>
              </w:rPr>
            </w:pPr>
            <w:r>
              <w:rPr>
                <w:rFonts w:hint="eastAsia" w:ascii="Times New Roman" w:hAnsi="Times New Roman"/>
                <w:kern w:val="0"/>
                <w:szCs w:val="21"/>
              </w:rPr>
              <w:t>自评等级</w:t>
            </w:r>
          </w:p>
        </w:tc>
        <w:tc>
          <w:tcPr>
            <w:tcW w:w="411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kern w:val="0"/>
                <w:szCs w:val="21"/>
              </w:rPr>
            </w:pPr>
          </w:p>
        </w:tc>
      </w:tr>
      <w:tr>
        <w:tblPrEx>
          <w:tblCellMar>
            <w:top w:w="0" w:type="dxa"/>
            <w:left w:w="0" w:type="dxa"/>
            <w:bottom w:w="0" w:type="dxa"/>
            <w:right w:w="0" w:type="dxa"/>
          </w:tblCellMar>
        </w:tblPrEx>
        <w:trPr>
          <w:trHeight w:val="1513" w:hRule="atLeast"/>
        </w:trPr>
        <w:tc>
          <w:tcPr>
            <w:tcW w:w="14190" w:type="dxa"/>
            <w:gridSpan w:val="10"/>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extAlignment w:val="center"/>
              <w:rPr>
                <w:rFonts w:ascii="Times New Roman" w:hAnsi="Times New Roman"/>
                <w:kern w:val="0"/>
                <w:szCs w:val="21"/>
              </w:rPr>
            </w:pPr>
            <w:r>
              <w:rPr>
                <w:rFonts w:ascii="Times New Roman" w:hAnsi="Times New Roman"/>
                <w:kern w:val="0"/>
                <w:szCs w:val="21"/>
              </w:rPr>
              <w:t>备注：</w:t>
            </w:r>
          </w:p>
          <w:p>
            <w:pPr>
              <w:widowControl/>
              <w:textAlignment w:val="center"/>
              <w:rPr>
                <w:rFonts w:ascii="Times New Roman" w:hAnsi="Times New Roman"/>
                <w:kern w:val="0"/>
                <w:szCs w:val="21"/>
              </w:rPr>
            </w:pPr>
            <w:r>
              <w:rPr>
                <w:rFonts w:hint="eastAsia" w:ascii="Times New Roman" w:hAnsi="Times New Roman"/>
                <w:kern w:val="0"/>
                <w:szCs w:val="21"/>
              </w:rPr>
              <w:t>1、扣分项评定要求：加减分以建设行政主管部门正式文件、现场检查记录、网上公布情况、会议记录等为依据。</w:t>
            </w:r>
          </w:p>
          <w:p>
            <w:pPr>
              <w:widowControl/>
              <w:textAlignment w:val="center"/>
              <w:rPr>
                <w:rFonts w:ascii="Times New Roman" w:hAnsi="Times New Roman"/>
                <w:kern w:val="0"/>
                <w:szCs w:val="21"/>
              </w:rPr>
            </w:pPr>
            <w:r>
              <w:rPr>
                <w:rFonts w:hint="eastAsia" w:ascii="Times New Roman" w:hAnsi="Times New Roman"/>
                <w:kern w:val="0"/>
                <w:szCs w:val="21"/>
              </w:rPr>
              <w:t>2、</w:t>
            </w:r>
            <w:r>
              <w:rPr>
                <w:rFonts w:ascii="Times New Roman" w:hAnsi="Times New Roman"/>
                <w:kern w:val="0"/>
                <w:szCs w:val="21"/>
              </w:rPr>
              <w:t>否决项是指综合评价机构在对检测机构综合评价时应一票否决的项目。在一定时期内，当检测机构在否决项上存在违规、违法或重大失信行为时，综合评价机构一经发现可终止评价。</w:t>
            </w:r>
          </w:p>
          <w:p>
            <w:pPr>
              <w:widowControl/>
              <w:textAlignment w:val="center"/>
              <w:rPr>
                <w:rFonts w:ascii="Times New Roman" w:hAnsi="Times New Roman"/>
                <w:kern w:val="0"/>
                <w:szCs w:val="21"/>
              </w:rPr>
            </w:pPr>
            <w:r>
              <w:rPr>
                <w:rFonts w:hint="eastAsia" w:ascii="Times New Roman" w:hAnsi="Times New Roman"/>
                <w:kern w:val="0"/>
                <w:szCs w:val="21"/>
              </w:rPr>
              <w:t>3、序号“5”资质，包括：1、见证取样；2、基础工程；3、主体结构；4、建筑幕墙；5、钢结构；6、建筑节能；7、智能建筑；8、环境检测；9、市政工程；10、空调系统；11、建筑水电；12、墙体屋面材料；13、饰面材料；14、防水材料；15、门窗；16、化学分析；17、粘钢、碳纤维加固；18、既有幕墙可靠性能；19、木结构；20、饮用水子分析；21、园林工程</w:t>
            </w:r>
          </w:p>
        </w:tc>
      </w:tr>
    </w:tbl>
    <w:p>
      <w:pPr>
        <w:rPr>
          <w:rFonts w:ascii="Times New Roman" w:hAnsi="Times New Roman"/>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仿宋_GBK">
    <w:panose1 w:val="03000509000000000000"/>
    <w:charset w:val="86"/>
    <w:family w:val="auto"/>
    <w:pitch w:val="fixed"/>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101C9"/>
    <w:multiLevelType w:val="multilevel"/>
    <w:tmpl w:val="3D0101C9"/>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EA8"/>
    <w:rsid w:val="00003189"/>
    <w:rsid w:val="0000530E"/>
    <w:rsid w:val="00005ECB"/>
    <w:rsid w:val="00033AE3"/>
    <w:rsid w:val="000355C8"/>
    <w:rsid w:val="00044FBC"/>
    <w:rsid w:val="00047A5F"/>
    <w:rsid w:val="00053EFA"/>
    <w:rsid w:val="00082653"/>
    <w:rsid w:val="000A1AB4"/>
    <w:rsid w:val="000A4BFF"/>
    <w:rsid w:val="000A5F8E"/>
    <w:rsid w:val="000A7CFC"/>
    <w:rsid w:val="000C07D6"/>
    <w:rsid w:val="000C4D2B"/>
    <w:rsid w:val="000D387F"/>
    <w:rsid w:val="000F01C7"/>
    <w:rsid w:val="000F1AEA"/>
    <w:rsid w:val="00100B9D"/>
    <w:rsid w:val="00101246"/>
    <w:rsid w:val="00103B7E"/>
    <w:rsid w:val="0010550B"/>
    <w:rsid w:val="00107ACD"/>
    <w:rsid w:val="00107E83"/>
    <w:rsid w:val="001124B8"/>
    <w:rsid w:val="00120C9F"/>
    <w:rsid w:val="00125FFB"/>
    <w:rsid w:val="00132DE5"/>
    <w:rsid w:val="001333E3"/>
    <w:rsid w:val="00147FB2"/>
    <w:rsid w:val="001A619B"/>
    <w:rsid w:val="001C5FC2"/>
    <w:rsid w:val="001F7AE1"/>
    <w:rsid w:val="00217316"/>
    <w:rsid w:val="00220872"/>
    <w:rsid w:val="00224856"/>
    <w:rsid w:val="00234CC9"/>
    <w:rsid w:val="00243254"/>
    <w:rsid w:val="00247193"/>
    <w:rsid w:val="00251DCC"/>
    <w:rsid w:val="00275CF1"/>
    <w:rsid w:val="00282C1A"/>
    <w:rsid w:val="00283870"/>
    <w:rsid w:val="0028523F"/>
    <w:rsid w:val="00290707"/>
    <w:rsid w:val="002955E3"/>
    <w:rsid w:val="00296197"/>
    <w:rsid w:val="002A3BD0"/>
    <w:rsid w:val="002C5D9F"/>
    <w:rsid w:val="002C72C3"/>
    <w:rsid w:val="002F4EC5"/>
    <w:rsid w:val="002F592E"/>
    <w:rsid w:val="00301C50"/>
    <w:rsid w:val="00304362"/>
    <w:rsid w:val="00312105"/>
    <w:rsid w:val="003138D6"/>
    <w:rsid w:val="00331F0A"/>
    <w:rsid w:val="00340B5E"/>
    <w:rsid w:val="00381784"/>
    <w:rsid w:val="0038481D"/>
    <w:rsid w:val="00384CC7"/>
    <w:rsid w:val="003850D7"/>
    <w:rsid w:val="00385E9E"/>
    <w:rsid w:val="00390133"/>
    <w:rsid w:val="00391DB8"/>
    <w:rsid w:val="003A4416"/>
    <w:rsid w:val="003A6BD4"/>
    <w:rsid w:val="003B5FBE"/>
    <w:rsid w:val="003B7765"/>
    <w:rsid w:val="003C1F68"/>
    <w:rsid w:val="003D1A1F"/>
    <w:rsid w:val="003D7412"/>
    <w:rsid w:val="00402C69"/>
    <w:rsid w:val="00402C72"/>
    <w:rsid w:val="00402D98"/>
    <w:rsid w:val="004039F2"/>
    <w:rsid w:val="004108F4"/>
    <w:rsid w:val="0041164E"/>
    <w:rsid w:val="00450741"/>
    <w:rsid w:val="00453972"/>
    <w:rsid w:val="00461350"/>
    <w:rsid w:val="0046793C"/>
    <w:rsid w:val="00471267"/>
    <w:rsid w:val="0047160D"/>
    <w:rsid w:val="00472D93"/>
    <w:rsid w:val="00494F8D"/>
    <w:rsid w:val="0049645A"/>
    <w:rsid w:val="004A23EB"/>
    <w:rsid w:val="004B70B2"/>
    <w:rsid w:val="004D1666"/>
    <w:rsid w:val="004F2FBC"/>
    <w:rsid w:val="004F79CA"/>
    <w:rsid w:val="00530E45"/>
    <w:rsid w:val="00531849"/>
    <w:rsid w:val="00543DDF"/>
    <w:rsid w:val="00551744"/>
    <w:rsid w:val="0055496F"/>
    <w:rsid w:val="00575E1C"/>
    <w:rsid w:val="00583900"/>
    <w:rsid w:val="005A27A5"/>
    <w:rsid w:val="005A5427"/>
    <w:rsid w:val="005C52F0"/>
    <w:rsid w:val="005D0D2F"/>
    <w:rsid w:val="005D2DA1"/>
    <w:rsid w:val="005E12A4"/>
    <w:rsid w:val="005E1ABF"/>
    <w:rsid w:val="005E53EC"/>
    <w:rsid w:val="005F49FC"/>
    <w:rsid w:val="005F4D8B"/>
    <w:rsid w:val="005F62F9"/>
    <w:rsid w:val="005F6BAB"/>
    <w:rsid w:val="00601460"/>
    <w:rsid w:val="006138F8"/>
    <w:rsid w:val="006150BA"/>
    <w:rsid w:val="0061569E"/>
    <w:rsid w:val="00616A09"/>
    <w:rsid w:val="00617D35"/>
    <w:rsid w:val="00627933"/>
    <w:rsid w:val="00627D0B"/>
    <w:rsid w:val="006325E4"/>
    <w:rsid w:val="006771AC"/>
    <w:rsid w:val="00692C38"/>
    <w:rsid w:val="006A38DF"/>
    <w:rsid w:val="006B0E9B"/>
    <w:rsid w:val="006B125B"/>
    <w:rsid w:val="006B30B3"/>
    <w:rsid w:val="006B6CD4"/>
    <w:rsid w:val="006B70B6"/>
    <w:rsid w:val="006C6413"/>
    <w:rsid w:val="006C655C"/>
    <w:rsid w:val="006D4DAB"/>
    <w:rsid w:val="006E4ECE"/>
    <w:rsid w:val="006F3E46"/>
    <w:rsid w:val="007107AC"/>
    <w:rsid w:val="00726C43"/>
    <w:rsid w:val="0073279A"/>
    <w:rsid w:val="00735D20"/>
    <w:rsid w:val="00760562"/>
    <w:rsid w:val="007609DC"/>
    <w:rsid w:val="00784D64"/>
    <w:rsid w:val="00790F1C"/>
    <w:rsid w:val="007926E1"/>
    <w:rsid w:val="007A726B"/>
    <w:rsid w:val="007B2BF9"/>
    <w:rsid w:val="007B33AD"/>
    <w:rsid w:val="007E4CDF"/>
    <w:rsid w:val="007E4FBE"/>
    <w:rsid w:val="007E5A48"/>
    <w:rsid w:val="00822839"/>
    <w:rsid w:val="00824469"/>
    <w:rsid w:val="0082738F"/>
    <w:rsid w:val="00845B1A"/>
    <w:rsid w:val="00846C93"/>
    <w:rsid w:val="00862083"/>
    <w:rsid w:val="00872629"/>
    <w:rsid w:val="0087620E"/>
    <w:rsid w:val="008813D8"/>
    <w:rsid w:val="0089113A"/>
    <w:rsid w:val="008A1C95"/>
    <w:rsid w:val="008B16AA"/>
    <w:rsid w:val="008B7754"/>
    <w:rsid w:val="008C399A"/>
    <w:rsid w:val="008D0C50"/>
    <w:rsid w:val="008E1E9C"/>
    <w:rsid w:val="008F1C24"/>
    <w:rsid w:val="008F52CD"/>
    <w:rsid w:val="00904549"/>
    <w:rsid w:val="00932336"/>
    <w:rsid w:val="00944706"/>
    <w:rsid w:val="00951C02"/>
    <w:rsid w:val="00955F22"/>
    <w:rsid w:val="00994583"/>
    <w:rsid w:val="009A3B32"/>
    <w:rsid w:val="009A6C12"/>
    <w:rsid w:val="009B3037"/>
    <w:rsid w:val="009B395A"/>
    <w:rsid w:val="009C1273"/>
    <w:rsid w:val="009D54C8"/>
    <w:rsid w:val="009D5C8D"/>
    <w:rsid w:val="009E05EE"/>
    <w:rsid w:val="009E488C"/>
    <w:rsid w:val="009E4F00"/>
    <w:rsid w:val="00A01DEC"/>
    <w:rsid w:val="00A022A9"/>
    <w:rsid w:val="00A15919"/>
    <w:rsid w:val="00A26B43"/>
    <w:rsid w:val="00A34A46"/>
    <w:rsid w:val="00A528B2"/>
    <w:rsid w:val="00A62923"/>
    <w:rsid w:val="00A664FA"/>
    <w:rsid w:val="00A71258"/>
    <w:rsid w:val="00A82340"/>
    <w:rsid w:val="00A91D5B"/>
    <w:rsid w:val="00A958A4"/>
    <w:rsid w:val="00AA7DB8"/>
    <w:rsid w:val="00AB7443"/>
    <w:rsid w:val="00AC27A1"/>
    <w:rsid w:val="00AD15E9"/>
    <w:rsid w:val="00AE0217"/>
    <w:rsid w:val="00AE08A9"/>
    <w:rsid w:val="00AE78B5"/>
    <w:rsid w:val="00B04619"/>
    <w:rsid w:val="00B10B84"/>
    <w:rsid w:val="00B2127D"/>
    <w:rsid w:val="00B30A43"/>
    <w:rsid w:val="00B4213D"/>
    <w:rsid w:val="00B46FFB"/>
    <w:rsid w:val="00B54AA6"/>
    <w:rsid w:val="00B66674"/>
    <w:rsid w:val="00B67AE6"/>
    <w:rsid w:val="00B80E1B"/>
    <w:rsid w:val="00B84E19"/>
    <w:rsid w:val="00B921CC"/>
    <w:rsid w:val="00B92AB8"/>
    <w:rsid w:val="00BA0EDE"/>
    <w:rsid w:val="00BC523A"/>
    <w:rsid w:val="00BC630A"/>
    <w:rsid w:val="00BD6F7D"/>
    <w:rsid w:val="00BF395B"/>
    <w:rsid w:val="00C011D8"/>
    <w:rsid w:val="00C078F0"/>
    <w:rsid w:val="00C07AE3"/>
    <w:rsid w:val="00C133C1"/>
    <w:rsid w:val="00C13E27"/>
    <w:rsid w:val="00C17786"/>
    <w:rsid w:val="00C30F19"/>
    <w:rsid w:val="00C34FDB"/>
    <w:rsid w:val="00C46A58"/>
    <w:rsid w:val="00C4752E"/>
    <w:rsid w:val="00C52397"/>
    <w:rsid w:val="00C64A8F"/>
    <w:rsid w:val="00C75FAC"/>
    <w:rsid w:val="00C7718A"/>
    <w:rsid w:val="00C77BB8"/>
    <w:rsid w:val="00C86216"/>
    <w:rsid w:val="00C91345"/>
    <w:rsid w:val="00C9513C"/>
    <w:rsid w:val="00CA134C"/>
    <w:rsid w:val="00CA477D"/>
    <w:rsid w:val="00CA4FEA"/>
    <w:rsid w:val="00CA5F34"/>
    <w:rsid w:val="00CB78F8"/>
    <w:rsid w:val="00CC03F2"/>
    <w:rsid w:val="00CC0EC1"/>
    <w:rsid w:val="00CC3ABB"/>
    <w:rsid w:val="00CE1649"/>
    <w:rsid w:val="00CE272A"/>
    <w:rsid w:val="00CE5120"/>
    <w:rsid w:val="00CF4463"/>
    <w:rsid w:val="00D25C1C"/>
    <w:rsid w:val="00D2651A"/>
    <w:rsid w:val="00D27885"/>
    <w:rsid w:val="00D33B28"/>
    <w:rsid w:val="00D344A1"/>
    <w:rsid w:val="00D3569C"/>
    <w:rsid w:val="00D424B4"/>
    <w:rsid w:val="00D42813"/>
    <w:rsid w:val="00D74DF3"/>
    <w:rsid w:val="00D808E2"/>
    <w:rsid w:val="00D85EF7"/>
    <w:rsid w:val="00D86074"/>
    <w:rsid w:val="00DA3A2F"/>
    <w:rsid w:val="00DA6843"/>
    <w:rsid w:val="00DC23B8"/>
    <w:rsid w:val="00DC4C7F"/>
    <w:rsid w:val="00DC7534"/>
    <w:rsid w:val="00DD52EE"/>
    <w:rsid w:val="00DD5EA8"/>
    <w:rsid w:val="00DD796B"/>
    <w:rsid w:val="00DE0713"/>
    <w:rsid w:val="00E11811"/>
    <w:rsid w:val="00E13FCB"/>
    <w:rsid w:val="00E168D8"/>
    <w:rsid w:val="00E31D07"/>
    <w:rsid w:val="00E3397E"/>
    <w:rsid w:val="00E36B95"/>
    <w:rsid w:val="00E537DC"/>
    <w:rsid w:val="00E554EC"/>
    <w:rsid w:val="00E57DEB"/>
    <w:rsid w:val="00E6716D"/>
    <w:rsid w:val="00E673E7"/>
    <w:rsid w:val="00E76A71"/>
    <w:rsid w:val="00E80B50"/>
    <w:rsid w:val="00E87EFA"/>
    <w:rsid w:val="00E94B91"/>
    <w:rsid w:val="00E95323"/>
    <w:rsid w:val="00EB2517"/>
    <w:rsid w:val="00EC1D77"/>
    <w:rsid w:val="00ED1D3D"/>
    <w:rsid w:val="00EE6F39"/>
    <w:rsid w:val="00EE7CED"/>
    <w:rsid w:val="00EF7FF4"/>
    <w:rsid w:val="00F0256B"/>
    <w:rsid w:val="00F22A8E"/>
    <w:rsid w:val="00F2533A"/>
    <w:rsid w:val="00F53AC4"/>
    <w:rsid w:val="00F57821"/>
    <w:rsid w:val="00FA2D48"/>
    <w:rsid w:val="00FB6ECA"/>
    <w:rsid w:val="00FC04D0"/>
    <w:rsid w:val="00FC095B"/>
    <w:rsid w:val="00FE31FD"/>
    <w:rsid w:val="00FE389F"/>
    <w:rsid w:val="00FE48FC"/>
    <w:rsid w:val="264A3FCE"/>
    <w:rsid w:val="4CF774B8"/>
    <w:rsid w:val="7C7F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F5BA12-219F-459D-9717-2E418AE0ED83}">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15</Pages>
  <Words>1015</Words>
  <Characters>5786</Characters>
  <Lines>48</Lines>
  <Paragraphs>13</Paragraphs>
  <TotalTime>1603</TotalTime>
  <ScaleCrop>false</ScaleCrop>
  <LinksUpToDate>false</LinksUpToDate>
  <CharactersWithSpaces>6788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2021-02-22T07:43:00Z</dcterms:created>
  <dc:creator>微软用户</dc:creator>
  <cp:lastModifiedBy>Administrator</cp:lastModifiedBy>
  <cp:lastPrinted>2021-03-30T09:38:00Z</cp:lastPrinted>
  <dcterms:modified xsi:type="dcterms:W3CDTF">2021-05-18T08:34:20Z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346C4CCD635A4DED9A95E682E046FB9B</vt:lpwstr>
  </property>
</Properties>
</file>