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bCs/>
          <w:color w:val="000000"/>
          <w:sz w:val="32"/>
          <w:szCs w:val="32"/>
        </w:rPr>
      </w:pPr>
      <w:r>
        <w:rPr>
          <w:rFonts w:hint="eastAsia" w:asciiTheme="majorEastAsia" w:hAnsiTheme="majorEastAsia" w:eastAsiaTheme="majorEastAsia"/>
          <w:b/>
          <w:bCs/>
          <w:color w:val="000000"/>
          <w:sz w:val="32"/>
          <w:szCs w:val="32"/>
        </w:rPr>
        <w:t>泰州市</w:t>
      </w:r>
      <w:r>
        <w:rPr>
          <w:rFonts w:ascii="宋体" w:hAnsi="宋体" w:eastAsia="宋体" w:cs="Times New Roman"/>
          <w:b/>
          <w:bCs/>
          <w:color w:val="000000"/>
          <w:sz w:val="32"/>
          <w:szCs w:val="32"/>
        </w:rPr>
        <w:t>预拌混凝土企业</w:t>
      </w:r>
      <w:r>
        <w:rPr>
          <w:rFonts w:hint="eastAsia" w:asciiTheme="majorEastAsia" w:hAnsiTheme="majorEastAsia" w:eastAsiaTheme="majorEastAsia"/>
          <w:b/>
          <w:bCs/>
          <w:color w:val="000000"/>
          <w:sz w:val="32"/>
          <w:szCs w:val="32"/>
        </w:rPr>
        <w:t>质量</w:t>
      </w:r>
      <w:r>
        <w:rPr>
          <w:rFonts w:ascii="宋体" w:hAnsi="宋体" w:eastAsia="宋体" w:cs="Times New Roman"/>
          <w:b/>
          <w:bCs/>
          <w:color w:val="000000"/>
          <w:sz w:val="32"/>
          <w:szCs w:val="32"/>
        </w:rPr>
        <w:t>综合评价</w:t>
      </w:r>
      <w:r>
        <w:rPr>
          <w:rFonts w:hint="eastAsia" w:asciiTheme="majorEastAsia" w:hAnsiTheme="majorEastAsia" w:eastAsiaTheme="majorEastAsia"/>
          <w:b/>
          <w:bCs/>
          <w:color w:val="000000"/>
          <w:sz w:val="32"/>
          <w:szCs w:val="32"/>
        </w:rPr>
        <w:t>暂行办法</w:t>
      </w:r>
    </w:p>
    <w:p>
      <w:pPr>
        <w:jc w:val="center"/>
        <w:rPr>
          <w:rFonts w:ascii="宋体" w:hAnsi="宋体" w:eastAsia="宋体" w:cs="Times New Roman"/>
          <w:b/>
          <w:bCs/>
          <w:color w:val="000000"/>
          <w:sz w:val="32"/>
          <w:szCs w:val="32"/>
        </w:rPr>
      </w:pPr>
      <w:r>
        <w:rPr>
          <w:rFonts w:hint="eastAsia" w:ascii="宋体" w:hAnsi="宋体" w:eastAsia="宋体" w:cs="Times New Roman"/>
          <w:b/>
          <w:bCs/>
          <w:color w:val="000000"/>
          <w:sz w:val="32"/>
          <w:szCs w:val="32"/>
          <w:lang w:val="en-US" w:eastAsia="zh-CN"/>
        </w:rPr>
        <w:t>（征求意见稿）</w:t>
      </w:r>
      <w:bookmarkStart w:id="0" w:name="_GoBack"/>
      <w:bookmarkEnd w:id="0"/>
    </w:p>
    <w:p>
      <w:pPr>
        <w:pStyle w:val="8"/>
        <w:numPr>
          <w:ilvl w:val="0"/>
          <w:numId w:val="1"/>
        </w:numPr>
        <w:ind w:firstLineChars="0"/>
        <w:jc w:val="center"/>
        <w:rPr>
          <w:rFonts w:asciiTheme="majorEastAsia" w:hAnsiTheme="majorEastAsia" w:eastAsiaTheme="majorEastAsia"/>
          <w:b/>
          <w:bCs/>
          <w:color w:val="000000"/>
          <w:sz w:val="32"/>
          <w:szCs w:val="32"/>
        </w:rPr>
      </w:pPr>
      <w:r>
        <w:rPr>
          <w:rFonts w:hint="eastAsia" w:asciiTheme="majorEastAsia" w:hAnsiTheme="majorEastAsia" w:eastAsiaTheme="majorEastAsia"/>
          <w:b/>
          <w:bCs/>
          <w:color w:val="000000"/>
          <w:sz w:val="32"/>
          <w:szCs w:val="32"/>
        </w:rPr>
        <w:t>总则</w:t>
      </w:r>
    </w:p>
    <w:p>
      <w:pPr>
        <w:ind w:firstLine="602" w:firstLineChars="200"/>
        <w:rPr>
          <w:rFonts w:asciiTheme="minorEastAsia" w:hAnsiTheme="minorEastAsia"/>
          <w:sz w:val="30"/>
          <w:szCs w:val="30"/>
        </w:rPr>
      </w:pPr>
      <w:r>
        <w:rPr>
          <w:rFonts w:asciiTheme="minorEastAsia" w:hAnsiTheme="minorEastAsia"/>
          <w:b/>
          <w:sz w:val="30"/>
          <w:szCs w:val="30"/>
        </w:rPr>
        <w:t>第一条</w:t>
      </w:r>
      <w:r>
        <w:rPr>
          <w:rFonts w:asciiTheme="minorEastAsia" w:hAnsiTheme="minorEastAsia"/>
          <w:sz w:val="30"/>
          <w:szCs w:val="30"/>
        </w:rPr>
        <w:t xml:space="preserve"> 为</w:t>
      </w:r>
      <w:r>
        <w:rPr>
          <w:rFonts w:hint="eastAsia" w:asciiTheme="minorEastAsia" w:hAnsiTheme="minorEastAsia"/>
          <w:sz w:val="30"/>
          <w:szCs w:val="30"/>
        </w:rPr>
        <w:t>提高泰州市</w:t>
      </w:r>
      <w:r>
        <w:rPr>
          <w:rFonts w:asciiTheme="minorEastAsia" w:hAnsiTheme="minorEastAsia"/>
          <w:sz w:val="30"/>
          <w:szCs w:val="30"/>
        </w:rPr>
        <w:t>预拌混凝土行业</w:t>
      </w:r>
      <w:r>
        <w:rPr>
          <w:rFonts w:hint="eastAsia" w:asciiTheme="minorEastAsia" w:hAnsiTheme="minorEastAsia"/>
          <w:sz w:val="30"/>
          <w:szCs w:val="30"/>
        </w:rPr>
        <w:t>质量控制水平</w:t>
      </w:r>
      <w:r>
        <w:rPr>
          <w:rFonts w:asciiTheme="minorEastAsia" w:hAnsiTheme="minorEastAsia"/>
          <w:sz w:val="30"/>
          <w:szCs w:val="30"/>
        </w:rPr>
        <w:t>，进一步规范预拌混凝土</w:t>
      </w:r>
      <w:r>
        <w:rPr>
          <w:rFonts w:hint="eastAsia" w:asciiTheme="minorEastAsia" w:hAnsiTheme="minorEastAsia"/>
          <w:sz w:val="30"/>
          <w:szCs w:val="30"/>
        </w:rPr>
        <w:t>企业质量行为</w:t>
      </w:r>
      <w:r>
        <w:rPr>
          <w:rFonts w:asciiTheme="minorEastAsia" w:hAnsiTheme="minorEastAsia"/>
          <w:sz w:val="30"/>
          <w:szCs w:val="30"/>
        </w:rPr>
        <w:t>，</w:t>
      </w:r>
      <w:r>
        <w:rPr>
          <w:rFonts w:hint="eastAsia" w:asciiTheme="minorEastAsia" w:hAnsiTheme="minorEastAsia"/>
          <w:sz w:val="30"/>
          <w:szCs w:val="30"/>
        </w:rPr>
        <w:t>强化</w:t>
      </w:r>
      <w:r>
        <w:rPr>
          <w:rFonts w:asciiTheme="minorEastAsia" w:hAnsiTheme="minorEastAsia"/>
          <w:sz w:val="30"/>
          <w:szCs w:val="30"/>
        </w:rPr>
        <w:t>预拌混凝土企业</w:t>
      </w:r>
      <w:r>
        <w:rPr>
          <w:rFonts w:hint="eastAsia" w:asciiTheme="minorEastAsia" w:hAnsiTheme="minorEastAsia"/>
          <w:sz w:val="30"/>
          <w:szCs w:val="30"/>
        </w:rPr>
        <w:t>质量体系建设，</w:t>
      </w:r>
      <w:r>
        <w:rPr>
          <w:rFonts w:asciiTheme="minorEastAsia" w:hAnsiTheme="minorEastAsia"/>
          <w:sz w:val="30"/>
          <w:szCs w:val="30"/>
        </w:rPr>
        <w:t>根据</w:t>
      </w:r>
      <w:r>
        <w:rPr>
          <w:rFonts w:hint="eastAsia" w:asciiTheme="minorEastAsia" w:hAnsiTheme="minorEastAsia"/>
          <w:sz w:val="30"/>
          <w:szCs w:val="30"/>
        </w:rPr>
        <w:t>《建筑业企业资质管理规定》、《关于加强预拌混凝土质量管理工作的通知》(建质【2013】84号)、《混凝土质量控制标准》(GB 50164-2011)、《预拌混凝土》（GB/T 14902-2012）、《房屋建筑和市政基础设施工程质量检测技术管理规范》（GB 50618-2011）、《混凝土搅拌站（楼）》（GB/T 10171-2016）</w:t>
      </w:r>
      <w:r>
        <w:rPr>
          <w:rFonts w:hint="eastAsia" w:asciiTheme="minorEastAsia" w:hAnsiTheme="minorEastAsia"/>
          <w:sz w:val="30"/>
          <w:szCs w:val="30"/>
          <w:lang w:eastAsia="zh-CN"/>
        </w:rPr>
        <w:t>、</w:t>
      </w:r>
      <w:r>
        <w:rPr>
          <w:rFonts w:hint="eastAsia" w:asciiTheme="minorEastAsia" w:hAnsiTheme="minorEastAsia"/>
          <w:sz w:val="30"/>
          <w:szCs w:val="30"/>
        </w:rPr>
        <w:t>《关于进一步加强钢筋、电线电缆、建筑用砂等建筑材料质量管理的通知》（泰建发【2018】74号）、</w:t>
      </w:r>
      <w:r>
        <w:rPr>
          <w:rFonts w:asciiTheme="minorEastAsia" w:hAnsiTheme="minorEastAsia"/>
          <w:sz w:val="30"/>
          <w:szCs w:val="30"/>
        </w:rPr>
        <w:t>等有关政策</w:t>
      </w:r>
      <w:r>
        <w:rPr>
          <w:rFonts w:hint="eastAsia" w:asciiTheme="minorEastAsia" w:hAnsiTheme="minorEastAsia"/>
          <w:sz w:val="30"/>
          <w:szCs w:val="30"/>
        </w:rPr>
        <w:t>文件</w:t>
      </w:r>
      <w:r>
        <w:rPr>
          <w:rFonts w:asciiTheme="minorEastAsia" w:hAnsiTheme="minorEastAsia"/>
          <w:sz w:val="30"/>
          <w:szCs w:val="30"/>
        </w:rPr>
        <w:t>及技术标准，结合</w:t>
      </w:r>
      <w:r>
        <w:rPr>
          <w:rFonts w:hint="eastAsia" w:asciiTheme="minorEastAsia" w:hAnsiTheme="minorEastAsia"/>
          <w:sz w:val="30"/>
          <w:szCs w:val="30"/>
        </w:rPr>
        <w:t>泰州市</w:t>
      </w:r>
      <w:r>
        <w:rPr>
          <w:rFonts w:asciiTheme="minorEastAsia" w:hAnsiTheme="minorEastAsia"/>
          <w:sz w:val="30"/>
          <w:szCs w:val="30"/>
        </w:rPr>
        <w:t>实际，制定本办法。</w:t>
      </w:r>
    </w:p>
    <w:p>
      <w:pPr>
        <w:ind w:firstLine="602" w:firstLineChars="200"/>
        <w:rPr>
          <w:rFonts w:asciiTheme="minorEastAsia" w:hAnsiTheme="minorEastAsia"/>
          <w:sz w:val="30"/>
          <w:szCs w:val="30"/>
        </w:rPr>
      </w:pPr>
      <w:r>
        <w:rPr>
          <w:rFonts w:asciiTheme="minorEastAsia" w:hAnsiTheme="minorEastAsia"/>
          <w:b/>
          <w:sz w:val="30"/>
          <w:szCs w:val="30"/>
        </w:rPr>
        <w:t>第二条</w:t>
      </w:r>
      <w:r>
        <w:rPr>
          <w:rFonts w:asciiTheme="minorEastAsia" w:hAnsiTheme="minorEastAsia"/>
          <w:sz w:val="30"/>
          <w:szCs w:val="30"/>
        </w:rPr>
        <w:tab/>
      </w:r>
      <w:r>
        <w:rPr>
          <w:rFonts w:ascii="宋体" w:hAnsi="宋体" w:eastAsia="宋体" w:cs="Times New Roman"/>
          <w:color w:val="000000"/>
          <w:sz w:val="30"/>
          <w:szCs w:val="30"/>
        </w:rPr>
        <w:t>预拌混凝土企业</w:t>
      </w:r>
      <w:r>
        <w:rPr>
          <w:rFonts w:hint="eastAsia" w:ascii="宋体" w:hAnsi="宋体" w:eastAsia="宋体" w:cs="Times New Roman"/>
          <w:color w:val="000000"/>
          <w:sz w:val="30"/>
          <w:szCs w:val="30"/>
        </w:rPr>
        <w:t>质量</w:t>
      </w:r>
      <w:r>
        <w:rPr>
          <w:rFonts w:ascii="宋体" w:hAnsi="宋体" w:eastAsia="宋体" w:cs="Times New Roman"/>
          <w:color w:val="000000"/>
          <w:sz w:val="30"/>
          <w:szCs w:val="30"/>
        </w:rPr>
        <w:t>综合评价</w:t>
      </w:r>
      <w:r>
        <w:rPr>
          <w:rFonts w:asciiTheme="minorEastAsia" w:hAnsiTheme="minorEastAsia"/>
          <w:sz w:val="30"/>
          <w:szCs w:val="30"/>
        </w:rPr>
        <w:t>坚持公开、公平、公正、诚实</w:t>
      </w:r>
      <w:r>
        <w:rPr>
          <w:rFonts w:hint="eastAsia" w:asciiTheme="minorEastAsia" w:hAnsiTheme="minorEastAsia"/>
          <w:sz w:val="30"/>
          <w:szCs w:val="30"/>
        </w:rPr>
        <w:t>、</w:t>
      </w:r>
      <w:r>
        <w:rPr>
          <w:rFonts w:asciiTheme="minorEastAsia" w:hAnsiTheme="minorEastAsia"/>
          <w:sz w:val="30"/>
          <w:szCs w:val="30"/>
        </w:rPr>
        <w:t>守信的原则，以</w:t>
      </w:r>
      <w:r>
        <w:rPr>
          <w:rFonts w:ascii="宋体" w:hAnsi="宋体" w:eastAsia="宋体" w:cs="Times New Roman"/>
          <w:color w:val="000000"/>
          <w:sz w:val="30"/>
          <w:szCs w:val="30"/>
        </w:rPr>
        <w:t>预拌混凝土企业</w:t>
      </w:r>
      <w:r>
        <w:rPr>
          <w:rFonts w:hint="eastAsia" w:ascii="宋体" w:hAnsi="宋体" w:eastAsia="宋体" w:cs="Times New Roman"/>
          <w:color w:val="000000"/>
          <w:sz w:val="30"/>
          <w:szCs w:val="30"/>
        </w:rPr>
        <w:t>质量</w:t>
      </w:r>
      <w:r>
        <w:rPr>
          <w:rFonts w:hint="eastAsia" w:asciiTheme="minorEastAsia" w:hAnsiTheme="minorEastAsia"/>
          <w:sz w:val="30"/>
          <w:szCs w:val="30"/>
        </w:rPr>
        <w:t>体系</w:t>
      </w:r>
      <w:r>
        <w:rPr>
          <w:rFonts w:asciiTheme="minorEastAsia" w:hAnsiTheme="minorEastAsia"/>
          <w:sz w:val="30"/>
          <w:szCs w:val="30"/>
        </w:rPr>
        <w:t>建设为主导，以政府监督管理为主要手段，实行“统一标准、规范考核、权威发布、社会监督、信息共享”的运作方式。</w:t>
      </w:r>
    </w:p>
    <w:p>
      <w:pPr>
        <w:shd w:val="clear" w:color="auto" w:fill="FFFFFF"/>
        <w:spacing w:line="600" w:lineRule="exact"/>
        <w:ind w:firstLine="639"/>
        <w:rPr>
          <w:rFonts w:ascii="宋体" w:hAnsi="宋体" w:eastAsia="宋体" w:cs="Times New Roman"/>
          <w:color w:val="000000"/>
          <w:sz w:val="30"/>
          <w:szCs w:val="30"/>
        </w:rPr>
      </w:pPr>
      <w:r>
        <w:rPr>
          <w:rFonts w:ascii="宋体" w:hAnsi="宋体" w:eastAsia="宋体" w:cs="Times New Roman"/>
          <w:b/>
          <w:bCs/>
          <w:color w:val="000000"/>
          <w:sz w:val="30"/>
          <w:szCs w:val="30"/>
        </w:rPr>
        <w:t>第</w:t>
      </w:r>
      <w:r>
        <w:rPr>
          <w:rFonts w:hint="eastAsia" w:ascii="宋体" w:hAnsi="宋体" w:eastAsia="宋体" w:cs="Times New Roman"/>
          <w:b/>
          <w:bCs/>
          <w:color w:val="000000"/>
          <w:sz w:val="30"/>
          <w:szCs w:val="30"/>
        </w:rPr>
        <w:t>三</w:t>
      </w:r>
      <w:r>
        <w:rPr>
          <w:rFonts w:ascii="宋体" w:hAnsi="宋体" w:eastAsia="宋体" w:cs="Times New Roman"/>
          <w:b/>
          <w:bCs/>
          <w:color w:val="000000"/>
          <w:sz w:val="30"/>
          <w:szCs w:val="30"/>
        </w:rPr>
        <w:t>条</w:t>
      </w:r>
      <w:r>
        <w:rPr>
          <w:rFonts w:ascii="宋体" w:hAnsi="宋体" w:eastAsia="宋体" w:cs="Times New Roman"/>
          <w:color w:val="000000"/>
          <w:sz w:val="30"/>
          <w:szCs w:val="30"/>
        </w:rPr>
        <w:t xml:space="preserve"> 在</w:t>
      </w:r>
      <w:r>
        <w:rPr>
          <w:rFonts w:hint="eastAsia" w:ascii="宋体" w:hAnsi="宋体" w:eastAsia="宋体" w:cs="Times New Roman"/>
          <w:color w:val="000000"/>
          <w:sz w:val="30"/>
          <w:szCs w:val="30"/>
        </w:rPr>
        <w:t>泰州市</w:t>
      </w:r>
      <w:r>
        <w:rPr>
          <w:rFonts w:ascii="宋体" w:hAnsi="宋体" w:eastAsia="宋体" w:cs="Times New Roman"/>
          <w:color w:val="000000"/>
          <w:sz w:val="30"/>
          <w:szCs w:val="30"/>
        </w:rPr>
        <w:t>行政区域内，</w:t>
      </w:r>
      <w:r>
        <w:rPr>
          <w:rFonts w:hint="eastAsia" w:ascii="宋体" w:hAnsi="宋体" w:eastAsia="宋体" w:cs="Times New Roman"/>
          <w:color w:val="000000"/>
          <w:sz w:val="30"/>
          <w:szCs w:val="30"/>
        </w:rPr>
        <w:t>由评价实施单位对</w:t>
      </w:r>
      <w:r>
        <w:rPr>
          <w:rFonts w:ascii="宋体" w:hAnsi="宋体" w:eastAsia="宋体" w:cs="Times New Roman"/>
          <w:color w:val="000000"/>
          <w:sz w:val="30"/>
          <w:szCs w:val="30"/>
        </w:rPr>
        <w:t>持有预拌混凝土企业资质证书，正常生产和经营的预拌混凝土生产企业</w:t>
      </w:r>
      <w:r>
        <w:rPr>
          <w:rFonts w:hint="eastAsia" w:ascii="宋体" w:hAnsi="宋体" w:eastAsia="宋体" w:cs="Times New Roman"/>
          <w:color w:val="000000"/>
          <w:sz w:val="30"/>
          <w:szCs w:val="30"/>
        </w:rPr>
        <w:t>（以下简称预拌混凝土企业）进行质量</w:t>
      </w:r>
      <w:r>
        <w:rPr>
          <w:rFonts w:ascii="宋体" w:hAnsi="宋体" w:eastAsia="宋体" w:cs="Times New Roman"/>
          <w:color w:val="000000"/>
          <w:sz w:val="30"/>
          <w:szCs w:val="30"/>
        </w:rPr>
        <w:t>综合评价。</w:t>
      </w:r>
    </w:p>
    <w:p>
      <w:pPr>
        <w:shd w:val="clear" w:color="auto" w:fill="FFFFFF"/>
        <w:spacing w:line="600" w:lineRule="exact"/>
        <w:ind w:firstLine="639"/>
        <w:rPr>
          <w:rFonts w:ascii="宋体" w:hAnsi="宋体" w:eastAsia="宋体" w:cs="Times New Roman"/>
          <w:color w:val="000000"/>
          <w:sz w:val="30"/>
          <w:szCs w:val="30"/>
        </w:rPr>
      </w:pPr>
      <w:r>
        <w:rPr>
          <w:rFonts w:ascii="宋体" w:hAnsi="宋体" w:eastAsia="宋体" w:cs="Times New Roman"/>
          <w:b/>
          <w:bCs/>
          <w:color w:val="000000"/>
          <w:sz w:val="30"/>
          <w:szCs w:val="30"/>
        </w:rPr>
        <w:t>第</w:t>
      </w:r>
      <w:r>
        <w:rPr>
          <w:rFonts w:hint="eastAsia" w:ascii="宋体" w:hAnsi="宋体" w:eastAsia="宋体" w:cs="Times New Roman"/>
          <w:b/>
          <w:bCs/>
          <w:color w:val="000000"/>
          <w:sz w:val="30"/>
          <w:szCs w:val="30"/>
        </w:rPr>
        <w:t>四</w:t>
      </w:r>
      <w:r>
        <w:rPr>
          <w:rFonts w:ascii="宋体" w:hAnsi="宋体" w:eastAsia="宋体" w:cs="Times New Roman"/>
          <w:b/>
          <w:bCs/>
          <w:color w:val="000000"/>
          <w:sz w:val="30"/>
          <w:szCs w:val="30"/>
        </w:rPr>
        <w:t>条</w:t>
      </w:r>
      <w:r>
        <w:rPr>
          <w:rFonts w:hint="eastAsia" w:ascii="宋体" w:hAnsi="宋体" w:eastAsia="宋体" w:cs="Times New Roman"/>
          <w:b/>
          <w:bCs/>
          <w:color w:val="000000"/>
          <w:sz w:val="30"/>
          <w:szCs w:val="30"/>
        </w:rPr>
        <w:t xml:space="preserve"> </w:t>
      </w:r>
      <w:r>
        <w:rPr>
          <w:rFonts w:hint="eastAsia" w:ascii="宋体" w:hAnsi="宋体" w:eastAsia="宋体" w:cs="Times New Roman"/>
          <w:color w:val="000000"/>
          <w:sz w:val="30"/>
          <w:szCs w:val="30"/>
        </w:rPr>
        <w:t>泰州市</w:t>
      </w:r>
      <w:r>
        <w:rPr>
          <w:rFonts w:ascii="宋体" w:hAnsi="宋体" w:eastAsia="宋体" w:cs="Times New Roman"/>
          <w:color w:val="000000"/>
          <w:sz w:val="30"/>
          <w:szCs w:val="30"/>
        </w:rPr>
        <w:t>住房和城乡建设</w:t>
      </w:r>
      <w:r>
        <w:rPr>
          <w:rFonts w:hint="eastAsia" w:ascii="宋体" w:hAnsi="宋体" w:eastAsia="宋体" w:cs="Times New Roman"/>
          <w:color w:val="000000"/>
          <w:sz w:val="30"/>
          <w:szCs w:val="30"/>
        </w:rPr>
        <w:t>局</w:t>
      </w:r>
      <w:r>
        <w:rPr>
          <w:rFonts w:ascii="宋体" w:hAnsi="宋体" w:eastAsia="宋体" w:cs="Times New Roman"/>
          <w:color w:val="000000"/>
          <w:sz w:val="30"/>
          <w:szCs w:val="30"/>
        </w:rPr>
        <w:t>（以下简称</w:t>
      </w:r>
      <w:r>
        <w:rPr>
          <w:rFonts w:hint="eastAsia" w:ascii="宋体" w:hAnsi="宋体" w:eastAsia="宋体" w:cs="Times New Roman"/>
          <w:color w:val="000000"/>
          <w:sz w:val="30"/>
          <w:szCs w:val="30"/>
        </w:rPr>
        <w:t>市</w:t>
      </w:r>
      <w:r>
        <w:rPr>
          <w:rFonts w:ascii="宋体" w:hAnsi="宋体" w:eastAsia="宋体" w:cs="Times New Roman"/>
          <w:color w:val="000000"/>
          <w:sz w:val="30"/>
          <w:szCs w:val="30"/>
        </w:rPr>
        <w:t>住建</w:t>
      </w:r>
      <w:r>
        <w:rPr>
          <w:rFonts w:hint="eastAsia" w:ascii="宋体" w:hAnsi="宋体" w:eastAsia="宋体" w:cs="Times New Roman"/>
          <w:color w:val="000000"/>
          <w:sz w:val="30"/>
          <w:szCs w:val="30"/>
        </w:rPr>
        <w:t>局</w:t>
      </w:r>
      <w:r>
        <w:rPr>
          <w:rFonts w:ascii="宋体" w:hAnsi="宋体" w:eastAsia="宋体" w:cs="Times New Roman"/>
          <w:color w:val="000000"/>
          <w:sz w:val="30"/>
          <w:szCs w:val="30"/>
        </w:rPr>
        <w:t>）是全</w:t>
      </w:r>
      <w:r>
        <w:rPr>
          <w:rFonts w:hint="eastAsia" w:ascii="宋体" w:hAnsi="宋体" w:eastAsia="宋体" w:cs="Times New Roman"/>
          <w:color w:val="000000"/>
          <w:sz w:val="30"/>
          <w:szCs w:val="30"/>
        </w:rPr>
        <w:t>市</w:t>
      </w:r>
      <w:r>
        <w:rPr>
          <w:rFonts w:ascii="宋体" w:hAnsi="宋体" w:eastAsia="宋体" w:cs="Times New Roman"/>
          <w:color w:val="000000"/>
          <w:sz w:val="30"/>
          <w:szCs w:val="30"/>
        </w:rPr>
        <w:t>预拌混凝土企业</w:t>
      </w:r>
      <w:r>
        <w:rPr>
          <w:rFonts w:hint="eastAsia" w:ascii="宋体" w:hAnsi="宋体" w:eastAsia="宋体" w:cs="Times New Roman"/>
          <w:color w:val="000000"/>
          <w:sz w:val="30"/>
          <w:szCs w:val="30"/>
        </w:rPr>
        <w:t>质量</w:t>
      </w:r>
      <w:r>
        <w:rPr>
          <w:rFonts w:ascii="宋体" w:hAnsi="宋体" w:eastAsia="宋体" w:cs="Times New Roman"/>
          <w:color w:val="000000"/>
          <w:sz w:val="30"/>
          <w:szCs w:val="30"/>
        </w:rPr>
        <w:t>综合评价的主管部门，负责制定评价标准和管理制度，</w:t>
      </w:r>
      <w:r>
        <w:rPr>
          <w:rFonts w:ascii="宋体" w:hAnsi="宋体" w:eastAsia="宋体" w:cs="Times New Roman"/>
          <w:sz w:val="30"/>
          <w:szCs w:val="30"/>
        </w:rPr>
        <w:t>建立预拌混凝土企业</w:t>
      </w:r>
      <w:r>
        <w:rPr>
          <w:rFonts w:hint="eastAsia" w:ascii="宋体" w:hAnsi="宋体" w:eastAsia="宋体" w:cs="Times New Roman"/>
          <w:sz w:val="30"/>
          <w:szCs w:val="30"/>
        </w:rPr>
        <w:t>质量</w:t>
      </w:r>
      <w:r>
        <w:rPr>
          <w:rFonts w:ascii="宋体" w:hAnsi="宋体" w:eastAsia="宋体" w:cs="Times New Roman"/>
          <w:sz w:val="30"/>
          <w:szCs w:val="30"/>
        </w:rPr>
        <w:t>综合评价系统和运行平台</w:t>
      </w:r>
      <w:r>
        <w:rPr>
          <w:rFonts w:ascii="宋体" w:hAnsi="宋体" w:eastAsia="宋体" w:cs="Times New Roman"/>
          <w:color w:val="000000"/>
          <w:sz w:val="30"/>
          <w:szCs w:val="30"/>
        </w:rPr>
        <w:t>，对预拌混凝土企业</w:t>
      </w:r>
      <w:r>
        <w:rPr>
          <w:rFonts w:hint="eastAsia" w:ascii="宋体" w:hAnsi="宋体" w:eastAsia="宋体" w:cs="Times New Roman"/>
          <w:color w:val="000000"/>
          <w:sz w:val="30"/>
          <w:szCs w:val="30"/>
        </w:rPr>
        <w:t>质量</w:t>
      </w:r>
      <w:r>
        <w:rPr>
          <w:rFonts w:ascii="宋体" w:hAnsi="宋体" w:eastAsia="宋体" w:cs="Times New Roman"/>
          <w:color w:val="000000"/>
          <w:sz w:val="30"/>
          <w:szCs w:val="30"/>
        </w:rPr>
        <w:t>综合评价工作实施监督指导。</w:t>
      </w:r>
      <w:r>
        <w:rPr>
          <w:rFonts w:hint="eastAsia" w:ascii="宋体" w:hAnsi="宋体" w:eastAsia="宋体" w:cs="Times New Roman"/>
          <w:color w:val="000000"/>
          <w:sz w:val="30"/>
          <w:szCs w:val="30"/>
        </w:rPr>
        <w:t>泰州市建设工程质量监督站</w:t>
      </w:r>
      <w:r>
        <w:rPr>
          <w:rFonts w:ascii="宋体" w:hAnsi="宋体" w:eastAsia="宋体" w:cs="Times New Roman"/>
          <w:color w:val="000000"/>
          <w:sz w:val="30"/>
          <w:szCs w:val="30"/>
        </w:rPr>
        <w:t>受</w:t>
      </w:r>
      <w:r>
        <w:rPr>
          <w:rFonts w:hint="eastAsia" w:ascii="宋体" w:hAnsi="宋体" w:eastAsia="宋体" w:cs="Times New Roman"/>
          <w:color w:val="000000"/>
          <w:sz w:val="30"/>
          <w:szCs w:val="30"/>
        </w:rPr>
        <w:t>市</w:t>
      </w:r>
      <w:r>
        <w:rPr>
          <w:rFonts w:ascii="宋体" w:hAnsi="宋体" w:eastAsia="宋体" w:cs="Times New Roman"/>
          <w:color w:val="000000"/>
          <w:sz w:val="30"/>
          <w:szCs w:val="30"/>
        </w:rPr>
        <w:t>住建</w:t>
      </w:r>
      <w:r>
        <w:rPr>
          <w:rFonts w:hint="eastAsia" w:ascii="宋体" w:hAnsi="宋体" w:eastAsia="宋体" w:cs="Times New Roman"/>
          <w:color w:val="000000"/>
          <w:sz w:val="30"/>
          <w:szCs w:val="30"/>
        </w:rPr>
        <w:t>局</w:t>
      </w:r>
      <w:r>
        <w:rPr>
          <w:rFonts w:ascii="宋体" w:hAnsi="宋体" w:eastAsia="宋体" w:cs="Times New Roman"/>
          <w:color w:val="000000"/>
          <w:sz w:val="30"/>
          <w:szCs w:val="30"/>
        </w:rPr>
        <w:t>委托负责开展预拌混凝土企业</w:t>
      </w:r>
      <w:r>
        <w:rPr>
          <w:rFonts w:hint="eastAsia" w:ascii="宋体" w:hAnsi="宋体" w:eastAsia="宋体" w:cs="Times New Roman"/>
          <w:color w:val="000000"/>
          <w:sz w:val="30"/>
          <w:szCs w:val="30"/>
        </w:rPr>
        <w:t>质量</w:t>
      </w:r>
      <w:r>
        <w:rPr>
          <w:rFonts w:ascii="宋体" w:hAnsi="宋体" w:eastAsia="宋体" w:cs="Times New Roman"/>
          <w:color w:val="000000"/>
          <w:sz w:val="30"/>
          <w:szCs w:val="30"/>
        </w:rPr>
        <w:t>综合评价工作，发布预拌混凝土企业</w:t>
      </w:r>
      <w:r>
        <w:rPr>
          <w:rFonts w:hint="eastAsia" w:ascii="宋体" w:hAnsi="宋体" w:eastAsia="宋体" w:cs="Times New Roman"/>
          <w:color w:val="000000"/>
          <w:sz w:val="30"/>
          <w:szCs w:val="30"/>
        </w:rPr>
        <w:t>质量</w:t>
      </w:r>
      <w:r>
        <w:rPr>
          <w:rFonts w:ascii="宋体" w:hAnsi="宋体" w:eastAsia="宋体" w:cs="Times New Roman"/>
          <w:color w:val="000000"/>
          <w:sz w:val="30"/>
          <w:szCs w:val="30"/>
        </w:rPr>
        <w:t>综合评价结果。</w:t>
      </w:r>
    </w:p>
    <w:p>
      <w:pPr>
        <w:shd w:val="clear" w:color="auto" w:fill="FFFFFF"/>
        <w:spacing w:line="600" w:lineRule="exact"/>
        <w:ind w:firstLine="639"/>
        <w:rPr>
          <w:rFonts w:ascii="宋体" w:hAnsi="宋体" w:eastAsia="宋体" w:cs="Times New Roman"/>
          <w:color w:val="000000"/>
          <w:sz w:val="30"/>
          <w:szCs w:val="30"/>
        </w:rPr>
      </w:pPr>
      <w:r>
        <w:rPr>
          <w:rFonts w:hint="eastAsia" w:ascii="宋体" w:hAnsi="宋体" w:eastAsia="宋体" w:cs="Times New Roman"/>
          <w:b/>
          <w:bCs/>
          <w:color w:val="000000"/>
          <w:sz w:val="30"/>
          <w:szCs w:val="30"/>
        </w:rPr>
        <w:t>第五条</w:t>
      </w:r>
      <w:r>
        <w:rPr>
          <w:rFonts w:hint="eastAsia" w:ascii="宋体" w:hAnsi="宋体" w:eastAsia="宋体" w:cs="Times New Roman"/>
          <w:color w:val="000000"/>
          <w:sz w:val="30"/>
          <w:szCs w:val="30"/>
        </w:rPr>
        <w:t xml:space="preserve"> 综合评价有效期为1年,预拌混凝土企业每年</w:t>
      </w:r>
      <w:r>
        <w:rPr>
          <w:rFonts w:hint="eastAsia" w:ascii="宋体" w:hAnsi="宋体" w:eastAsia="宋体" w:cs="Times New Roman"/>
          <w:color w:val="000000"/>
          <w:sz w:val="30"/>
          <w:szCs w:val="30"/>
          <w:lang w:val="en-US" w:eastAsia="zh-CN"/>
        </w:rPr>
        <w:t>7</w:t>
      </w:r>
      <w:r>
        <w:rPr>
          <w:rFonts w:hint="eastAsia" w:ascii="宋体" w:hAnsi="宋体" w:eastAsia="宋体" w:cs="Times New Roman"/>
          <w:color w:val="000000"/>
          <w:sz w:val="30"/>
          <w:szCs w:val="30"/>
        </w:rPr>
        <w:t>月申报自评材料。</w:t>
      </w:r>
    </w:p>
    <w:p>
      <w:pPr>
        <w:shd w:val="clear" w:color="auto" w:fill="FFFFFF"/>
        <w:spacing w:line="600" w:lineRule="exact"/>
        <w:jc w:val="center"/>
        <w:rPr>
          <w:rFonts w:ascii="宋体" w:hAnsi="宋体" w:eastAsia="宋体" w:cs="Times New Roman"/>
          <w:color w:val="000000"/>
          <w:sz w:val="30"/>
          <w:szCs w:val="30"/>
        </w:rPr>
      </w:pPr>
      <w:r>
        <w:rPr>
          <w:rFonts w:hint="eastAsia" w:asciiTheme="majorEastAsia" w:hAnsiTheme="majorEastAsia" w:eastAsiaTheme="majorEastAsia"/>
          <w:b/>
          <w:bCs/>
          <w:color w:val="000000"/>
          <w:sz w:val="32"/>
          <w:szCs w:val="32"/>
        </w:rPr>
        <w:t xml:space="preserve">第二章 </w:t>
      </w:r>
      <w:r>
        <w:rPr>
          <w:rFonts w:asciiTheme="majorEastAsia" w:hAnsiTheme="majorEastAsia" w:eastAsiaTheme="majorEastAsia"/>
          <w:b/>
          <w:bCs/>
          <w:color w:val="000000"/>
          <w:sz w:val="32"/>
          <w:szCs w:val="32"/>
        </w:rPr>
        <w:t>评价</w:t>
      </w:r>
      <w:r>
        <w:rPr>
          <w:rFonts w:hint="eastAsia" w:asciiTheme="majorEastAsia" w:hAnsiTheme="majorEastAsia" w:eastAsiaTheme="majorEastAsia"/>
          <w:b/>
          <w:bCs/>
          <w:color w:val="000000"/>
          <w:sz w:val="32"/>
          <w:szCs w:val="32"/>
        </w:rPr>
        <w:t>内容 结果公布</w:t>
      </w:r>
    </w:p>
    <w:p>
      <w:pPr>
        <w:shd w:val="clear" w:color="auto" w:fill="FFFFFF"/>
        <w:spacing w:line="600" w:lineRule="exact"/>
        <w:ind w:firstLine="639"/>
        <w:rPr>
          <w:rFonts w:ascii="Times New Roman" w:eastAsia="仿宋_GB2312"/>
          <w:color w:val="000000"/>
          <w:sz w:val="32"/>
          <w:szCs w:val="32"/>
        </w:rPr>
      </w:pPr>
      <w:r>
        <w:rPr>
          <w:rFonts w:ascii="宋体" w:hAnsi="宋体" w:eastAsia="宋体" w:cs="Times New Roman"/>
          <w:b/>
          <w:bCs/>
          <w:color w:val="000000"/>
          <w:sz w:val="30"/>
          <w:szCs w:val="30"/>
        </w:rPr>
        <w:t>第</w:t>
      </w:r>
      <w:r>
        <w:rPr>
          <w:rFonts w:hint="eastAsia" w:ascii="宋体" w:hAnsi="宋体" w:eastAsia="宋体" w:cs="Times New Roman"/>
          <w:b/>
          <w:bCs/>
          <w:color w:val="000000"/>
          <w:sz w:val="30"/>
          <w:szCs w:val="30"/>
        </w:rPr>
        <w:t>六</w:t>
      </w:r>
      <w:r>
        <w:rPr>
          <w:rFonts w:ascii="宋体" w:hAnsi="宋体" w:eastAsia="宋体" w:cs="Times New Roman"/>
          <w:b/>
          <w:bCs/>
          <w:color w:val="000000"/>
          <w:sz w:val="30"/>
          <w:szCs w:val="30"/>
        </w:rPr>
        <w:t>条</w:t>
      </w:r>
      <w:r>
        <w:rPr>
          <w:rFonts w:hint="eastAsia" w:ascii="Times New Roman" w:eastAsia="仿宋_GB2312"/>
          <w:b/>
          <w:bCs/>
          <w:color w:val="000000"/>
          <w:sz w:val="32"/>
          <w:szCs w:val="32"/>
        </w:rPr>
        <w:t xml:space="preserve"> </w:t>
      </w:r>
      <w:r>
        <w:rPr>
          <w:rFonts w:ascii="宋体" w:hAnsi="宋体" w:eastAsia="宋体" w:cs="Times New Roman"/>
          <w:color w:val="000000"/>
          <w:sz w:val="30"/>
          <w:szCs w:val="30"/>
        </w:rPr>
        <w:t>参加</w:t>
      </w:r>
      <w:r>
        <w:rPr>
          <w:rFonts w:hint="eastAsia" w:ascii="宋体" w:hAnsi="宋体" w:eastAsia="宋体" w:cs="Times New Roman"/>
          <w:color w:val="000000"/>
          <w:sz w:val="30"/>
          <w:szCs w:val="30"/>
        </w:rPr>
        <w:t>质量</w:t>
      </w:r>
      <w:r>
        <w:rPr>
          <w:rFonts w:ascii="宋体" w:hAnsi="宋体" w:eastAsia="宋体" w:cs="Times New Roman"/>
          <w:color w:val="000000"/>
          <w:sz w:val="30"/>
          <w:szCs w:val="30"/>
        </w:rPr>
        <w:t>综合评价的预拌混凝土企业须填写《</w:t>
      </w:r>
      <w:r>
        <w:rPr>
          <w:rFonts w:hint="eastAsia" w:ascii="宋体" w:hAnsi="宋体" w:eastAsia="宋体" w:cs="Times New Roman"/>
          <w:color w:val="000000"/>
          <w:sz w:val="30"/>
          <w:szCs w:val="30"/>
        </w:rPr>
        <w:t>泰州市</w:t>
      </w:r>
      <w:r>
        <w:rPr>
          <w:rFonts w:ascii="宋体" w:hAnsi="宋体" w:eastAsia="宋体" w:cs="Times New Roman"/>
          <w:color w:val="000000"/>
          <w:sz w:val="30"/>
          <w:szCs w:val="30"/>
        </w:rPr>
        <w:t>预拌混凝土企业</w:t>
      </w:r>
      <w:r>
        <w:rPr>
          <w:rFonts w:hint="eastAsia" w:ascii="宋体" w:hAnsi="宋体" w:eastAsia="宋体" w:cs="Times New Roman"/>
          <w:color w:val="000000"/>
          <w:sz w:val="30"/>
          <w:szCs w:val="30"/>
        </w:rPr>
        <w:t>质量</w:t>
      </w:r>
      <w:r>
        <w:rPr>
          <w:rFonts w:ascii="宋体" w:hAnsi="宋体" w:eastAsia="宋体" w:cs="Times New Roman"/>
          <w:color w:val="000000"/>
          <w:sz w:val="30"/>
          <w:szCs w:val="30"/>
        </w:rPr>
        <w:t>综合评价承诺书》</w:t>
      </w:r>
      <w:r>
        <w:rPr>
          <w:rFonts w:hint="eastAsia" w:ascii="宋体" w:hAnsi="宋体" w:eastAsia="宋体" w:cs="Times New Roman"/>
          <w:color w:val="000000"/>
          <w:sz w:val="30"/>
          <w:szCs w:val="30"/>
        </w:rPr>
        <w:t>，见</w:t>
      </w:r>
      <w:r>
        <w:rPr>
          <w:rFonts w:ascii="宋体" w:hAnsi="宋体" w:eastAsia="宋体" w:cs="Times New Roman"/>
          <w:color w:val="000000"/>
          <w:sz w:val="30"/>
          <w:szCs w:val="30"/>
        </w:rPr>
        <w:t>附件1。</w:t>
      </w:r>
    </w:p>
    <w:p>
      <w:pPr>
        <w:shd w:val="clear" w:color="auto" w:fill="FFFFFF"/>
        <w:spacing w:line="600" w:lineRule="exact"/>
        <w:ind w:firstLine="639"/>
        <w:rPr>
          <w:rFonts w:ascii="宋体" w:hAnsi="宋体" w:eastAsia="宋体" w:cs="Times New Roman"/>
          <w:color w:val="000000"/>
          <w:sz w:val="30"/>
          <w:szCs w:val="30"/>
        </w:rPr>
      </w:pPr>
      <w:r>
        <w:rPr>
          <w:rFonts w:hint="eastAsia" w:ascii="宋体" w:hAnsi="宋体" w:eastAsia="宋体" w:cs="Times New Roman"/>
          <w:b/>
          <w:color w:val="000000"/>
          <w:sz w:val="30"/>
          <w:szCs w:val="30"/>
        </w:rPr>
        <w:t xml:space="preserve">第七条 </w:t>
      </w:r>
      <w:r>
        <w:rPr>
          <w:rFonts w:ascii="宋体" w:hAnsi="宋体" w:eastAsia="宋体" w:cs="Times New Roman"/>
          <w:color w:val="000000"/>
          <w:sz w:val="30"/>
          <w:szCs w:val="30"/>
        </w:rPr>
        <w:t>预拌混凝土企业</w:t>
      </w:r>
      <w:r>
        <w:rPr>
          <w:rFonts w:hint="eastAsia" w:ascii="宋体" w:hAnsi="宋体" w:eastAsia="宋体" w:cs="Times New Roman"/>
          <w:color w:val="000000"/>
          <w:sz w:val="30"/>
          <w:szCs w:val="30"/>
        </w:rPr>
        <w:t>质量</w:t>
      </w:r>
      <w:r>
        <w:rPr>
          <w:rFonts w:ascii="宋体" w:hAnsi="宋体" w:eastAsia="宋体" w:cs="Times New Roman"/>
          <w:color w:val="000000"/>
          <w:sz w:val="30"/>
          <w:szCs w:val="30"/>
        </w:rPr>
        <w:t>综合评价主要内容为：</w:t>
      </w:r>
      <w:r>
        <w:rPr>
          <w:rFonts w:hint="eastAsia" w:ascii="宋体" w:hAnsi="宋体" w:eastAsia="宋体" w:cs="Times New Roman"/>
          <w:color w:val="000000"/>
          <w:sz w:val="30"/>
          <w:szCs w:val="30"/>
        </w:rPr>
        <w:t>综合管理水平、生产安全管理、生产质量管理、现场质量控制共四</w:t>
      </w:r>
      <w:r>
        <w:rPr>
          <w:rFonts w:ascii="宋体" w:hAnsi="宋体" w:eastAsia="宋体" w:cs="Times New Roman"/>
          <w:color w:val="000000"/>
          <w:sz w:val="30"/>
          <w:szCs w:val="30"/>
        </w:rPr>
        <w:t>项</w:t>
      </w:r>
      <w:r>
        <w:rPr>
          <w:rFonts w:hint="eastAsia" w:ascii="宋体" w:hAnsi="宋体" w:eastAsia="宋体" w:cs="Times New Roman"/>
          <w:color w:val="000000"/>
          <w:sz w:val="30"/>
          <w:szCs w:val="30"/>
        </w:rPr>
        <w:t>，</w:t>
      </w:r>
      <w:r>
        <w:rPr>
          <w:rFonts w:ascii="宋体" w:hAnsi="宋体" w:eastAsia="宋体" w:cs="Times New Roman"/>
          <w:color w:val="000000"/>
          <w:sz w:val="30"/>
          <w:szCs w:val="30"/>
        </w:rPr>
        <w:t>共计</w:t>
      </w:r>
      <w:r>
        <w:rPr>
          <w:rFonts w:hint="eastAsia" w:ascii="宋体" w:hAnsi="宋体" w:eastAsia="宋体" w:cs="Times New Roman"/>
          <w:color w:val="000000"/>
          <w:sz w:val="30"/>
          <w:szCs w:val="30"/>
        </w:rPr>
        <w:t>100</w:t>
      </w:r>
      <w:r>
        <w:rPr>
          <w:rFonts w:ascii="宋体" w:hAnsi="宋体" w:eastAsia="宋体" w:cs="Times New Roman"/>
          <w:color w:val="000000"/>
          <w:sz w:val="30"/>
          <w:szCs w:val="30"/>
        </w:rPr>
        <w:t>分。</w:t>
      </w:r>
      <w:r>
        <w:rPr>
          <w:rFonts w:hint="eastAsia" w:ascii="宋体" w:hAnsi="宋体" w:eastAsia="宋体" w:cs="Times New Roman"/>
          <w:color w:val="000000"/>
          <w:sz w:val="30"/>
          <w:szCs w:val="30"/>
        </w:rPr>
        <w:t>《泰州市预拌混凝土企业质量综合评价评分表》见附件2。</w:t>
      </w:r>
    </w:p>
    <w:p>
      <w:pPr>
        <w:shd w:val="clear" w:color="auto" w:fill="FFFFFF"/>
        <w:spacing w:line="600" w:lineRule="exact"/>
        <w:ind w:firstLine="639"/>
        <w:rPr>
          <w:rFonts w:ascii="宋体" w:hAnsi="宋体" w:eastAsia="宋体" w:cs="Times New Roman"/>
          <w:color w:val="000000"/>
          <w:sz w:val="30"/>
          <w:szCs w:val="30"/>
        </w:rPr>
      </w:pPr>
      <w:r>
        <w:rPr>
          <w:rFonts w:ascii="宋体" w:hAnsi="宋体" w:eastAsia="宋体" w:cs="Times New Roman"/>
          <w:b/>
          <w:color w:val="000000"/>
          <w:sz w:val="30"/>
          <w:szCs w:val="30"/>
        </w:rPr>
        <w:t>第</w:t>
      </w:r>
      <w:r>
        <w:rPr>
          <w:rFonts w:hint="eastAsia" w:ascii="宋体" w:hAnsi="宋体" w:eastAsia="宋体" w:cs="Times New Roman"/>
          <w:b/>
          <w:color w:val="000000"/>
          <w:sz w:val="30"/>
          <w:szCs w:val="30"/>
        </w:rPr>
        <w:t>八</w:t>
      </w:r>
      <w:r>
        <w:rPr>
          <w:rFonts w:ascii="宋体" w:hAnsi="宋体" w:eastAsia="宋体" w:cs="Times New Roman"/>
          <w:b/>
          <w:color w:val="000000"/>
          <w:sz w:val="30"/>
          <w:szCs w:val="30"/>
        </w:rPr>
        <w:t>条</w:t>
      </w:r>
      <w:r>
        <w:rPr>
          <w:rFonts w:hint="eastAsia" w:ascii="宋体" w:hAnsi="宋体" w:eastAsia="宋体" w:cs="Times New Roman"/>
          <w:b/>
          <w:color w:val="000000"/>
          <w:sz w:val="30"/>
          <w:szCs w:val="30"/>
        </w:rPr>
        <w:t xml:space="preserve"> </w:t>
      </w:r>
      <w:r>
        <w:rPr>
          <w:rFonts w:hint="eastAsia" w:ascii="宋体" w:hAnsi="宋体" w:eastAsia="宋体" w:cs="Times New Roman"/>
          <w:color w:val="000000"/>
          <w:sz w:val="30"/>
          <w:szCs w:val="30"/>
        </w:rPr>
        <w:t>预拌混凝土企业</w:t>
      </w:r>
      <w:r>
        <w:rPr>
          <w:rFonts w:hint="eastAsia" w:ascii="宋体" w:hAnsi="宋体" w:eastAsia="宋体" w:cs="Times New Roman"/>
          <w:sz w:val="30"/>
          <w:szCs w:val="30"/>
        </w:rPr>
        <w:t>综合评价结果在</w:t>
      </w:r>
      <w:r>
        <w:rPr>
          <w:rFonts w:ascii="宋体" w:hAnsi="宋体" w:eastAsia="宋体" w:cs="Times New Roman"/>
          <w:sz w:val="30"/>
          <w:szCs w:val="30"/>
        </w:rPr>
        <w:t>“</w:t>
      </w:r>
      <w:r>
        <w:rPr>
          <w:rFonts w:hint="eastAsia" w:ascii="宋体" w:hAnsi="宋体" w:eastAsia="宋体" w:cs="Times New Roman"/>
          <w:sz w:val="30"/>
          <w:szCs w:val="30"/>
        </w:rPr>
        <w:t>泰州市预拌混凝土质量智慧监管平台</w:t>
      </w:r>
      <w:r>
        <w:rPr>
          <w:rFonts w:ascii="宋体" w:hAnsi="宋体" w:eastAsia="宋体" w:cs="Times New Roman"/>
          <w:sz w:val="30"/>
          <w:szCs w:val="30"/>
        </w:rPr>
        <w:t>”</w:t>
      </w:r>
      <w:r>
        <w:rPr>
          <w:rFonts w:hint="eastAsia" w:ascii="宋体" w:hAnsi="宋体" w:eastAsia="宋体" w:cs="Times New Roman"/>
          <w:sz w:val="30"/>
          <w:szCs w:val="30"/>
        </w:rPr>
        <w:t>上发布，公示期</w:t>
      </w:r>
      <w:r>
        <w:rPr>
          <w:rFonts w:ascii="宋体" w:hAnsi="宋体" w:eastAsia="宋体" w:cs="Times New Roman"/>
          <w:sz w:val="30"/>
          <w:szCs w:val="30"/>
        </w:rPr>
        <w:t>为</w:t>
      </w:r>
      <w:r>
        <w:rPr>
          <w:rFonts w:hint="eastAsia" w:ascii="宋体" w:hAnsi="宋体" w:eastAsia="宋体" w:cs="Times New Roman"/>
          <w:sz w:val="30"/>
          <w:szCs w:val="30"/>
        </w:rPr>
        <w:t>7</w:t>
      </w:r>
      <w:r>
        <w:rPr>
          <w:rFonts w:ascii="宋体" w:hAnsi="宋体" w:eastAsia="宋体" w:cs="Times New Roman"/>
          <w:color w:val="000000"/>
          <w:sz w:val="30"/>
          <w:szCs w:val="30"/>
        </w:rPr>
        <w:t>个工作日，异议受理部门</w:t>
      </w:r>
      <w:r>
        <w:rPr>
          <w:rFonts w:hint="eastAsia" w:ascii="宋体" w:hAnsi="宋体" w:eastAsia="宋体" w:cs="Times New Roman"/>
          <w:color w:val="000000"/>
          <w:sz w:val="30"/>
          <w:szCs w:val="30"/>
        </w:rPr>
        <w:t>为泰州市建设工程质量监督站</w:t>
      </w:r>
      <w:r>
        <w:rPr>
          <w:rFonts w:ascii="宋体" w:hAnsi="宋体" w:eastAsia="宋体" w:cs="Times New Roman"/>
          <w:color w:val="000000"/>
          <w:sz w:val="30"/>
          <w:szCs w:val="30"/>
        </w:rPr>
        <w:t>。公示期内，任何组织或个人均可书面方式提出异议。异议人应当提供真实身份、有效的联系方式、具体事实理由和相关证据资料。</w:t>
      </w:r>
    </w:p>
    <w:p>
      <w:pPr>
        <w:shd w:val="clear" w:color="auto" w:fill="FFFFFF"/>
        <w:spacing w:line="600" w:lineRule="exact"/>
        <w:ind w:firstLine="639"/>
        <w:rPr>
          <w:rFonts w:ascii="宋体" w:hAnsi="宋体" w:eastAsia="宋体" w:cs="Times New Roman"/>
          <w:color w:val="000000"/>
          <w:sz w:val="30"/>
          <w:szCs w:val="30"/>
        </w:rPr>
      </w:pPr>
      <w:r>
        <w:rPr>
          <w:rFonts w:ascii="宋体" w:hAnsi="宋体" w:eastAsia="宋体" w:cs="Times New Roman"/>
          <w:color w:val="000000"/>
          <w:sz w:val="30"/>
          <w:szCs w:val="30"/>
        </w:rPr>
        <w:t>公示无异议的预拌混凝土企业</w:t>
      </w:r>
      <w:r>
        <w:rPr>
          <w:rFonts w:hint="eastAsia" w:ascii="宋体" w:hAnsi="宋体" w:eastAsia="宋体" w:cs="Times New Roman"/>
          <w:color w:val="000000"/>
          <w:sz w:val="30"/>
          <w:szCs w:val="30"/>
        </w:rPr>
        <w:t>质量</w:t>
      </w:r>
      <w:r>
        <w:rPr>
          <w:rFonts w:ascii="宋体" w:hAnsi="宋体" w:eastAsia="宋体" w:cs="Times New Roman"/>
          <w:color w:val="000000"/>
          <w:sz w:val="30"/>
          <w:szCs w:val="30"/>
        </w:rPr>
        <w:t>综合评价</w:t>
      </w:r>
      <w:r>
        <w:rPr>
          <w:rFonts w:hint="eastAsia" w:ascii="宋体" w:hAnsi="宋体" w:eastAsia="宋体" w:cs="Times New Roman"/>
          <w:sz w:val="30"/>
          <w:szCs w:val="30"/>
        </w:rPr>
        <w:t>结果</w:t>
      </w:r>
      <w:r>
        <w:rPr>
          <w:rFonts w:ascii="宋体" w:hAnsi="宋体" w:eastAsia="宋体" w:cs="Times New Roman"/>
          <w:color w:val="000000"/>
          <w:sz w:val="30"/>
          <w:szCs w:val="30"/>
        </w:rPr>
        <w:t>，自公示结束次日起生效。</w:t>
      </w:r>
    </w:p>
    <w:p>
      <w:pPr>
        <w:shd w:val="clear" w:color="auto" w:fill="FFFFFF"/>
        <w:spacing w:line="600" w:lineRule="exact"/>
        <w:ind w:firstLine="639"/>
        <w:rPr>
          <w:rFonts w:ascii="Times New Roman" w:eastAsia="仿宋_GB2312"/>
          <w:color w:val="000000"/>
          <w:sz w:val="32"/>
          <w:szCs w:val="32"/>
        </w:rPr>
      </w:pPr>
      <w:r>
        <w:rPr>
          <w:rFonts w:hint="eastAsia" w:ascii="宋体" w:hAnsi="宋体" w:eastAsia="宋体" w:cs="Times New Roman"/>
          <w:b/>
          <w:color w:val="000000"/>
          <w:sz w:val="30"/>
          <w:szCs w:val="30"/>
        </w:rPr>
        <w:t>第九条</w:t>
      </w:r>
      <w:r>
        <w:rPr>
          <w:rFonts w:hint="eastAsia" w:ascii="Times New Roman" w:eastAsia="仿宋_GB2312"/>
          <w:b/>
          <w:bCs/>
          <w:color w:val="000000"/>
          <w:sz w:val="32"/>
          <w:szCs w:val="32"/>
        </w:rPr>
        <w:t xml:space="preserve"> </w:t>
      </w:r>
      <w:r>
        <w:rPr>
          <w:rFonts w:ascii="宋体" w:hAnsi="宋体" w:eastAsia="宋体" w:cs="Times New Roman"/>
          <w:sz w:val="30"/>
          <w:szCs w:val="30"/>
        </w:rPr>
        <w:t>每</w:t>
      </w:r>
      <w:r>
        <w:rPr>
          <w:rFonts w:hint="eastAsia" w:ascii="宋体" w:hAnsi="宋体" w:eastAsia="宋体" w:cs="Times New Roman"/>
          <w:sz w:val="30"/>
          <w:szCs w:val="30"/>
        </w:rPr>
        <w:t>年</w:t>
      </w:r>
      <w:r>
        <w:rPr>
          <w:rFonts w:ascii="宋体" w:hAnsi="宋体" w:eastAsia="宋体" w:cs="Times New Roman"/>
          <w:sz w:val="30"/>
          <w:szCs w:val="30"/>
        </w:rPr>
        <w:t>在“</w:t>
      </w:r>
      <w:r>
        <w:rPr>
          <w:rFonts w:hint="eastAsia" w:ascii="宋体" w:hAnsi="宋体" w:eastAsia="宋体" w:cs="Times New Roman"/>
          <w:sz w:val="30"/>
          <w:szCs w:val="30"/>
        </w:rPr>
        <w:t>泰州市预拌混凝土质量智慧监管平台</w:t>
      </w:r>
      <w:r>
        <w:rPr>
          <w:rFonts w:ascii="宋体" w:hAnsi="宋体" w:eastAsia="宋体" w:cs="Times New Roman"/>
          <w:sz w:val="30"/>
          <w:szCs w:val="30"/>
        </w:rPr>
        <w:t>”</w:t>
      </w:r>
      <w:r>
        <w:rPr>
          <w:rFonts w:ascii="宋体" w:hAnsi="宋体" w:eastAsia="宋体" w:cs="Times New Roman"/>
          <w:color w:val="000000"/>
          <w:sz w:val="30"/>
          <w:szCs w:val="30"/>
        </w:rPr>
        <w:t>公布一次预拌混凝土企业</w:t>
      </w:r>
      <w:r>
        <w:rPr>
          <w:rFonts w:hint="eastAsia" w:ascii="宋体" w:hAnsi="宋体" w:eastAsia="宋体" w:cs="Times New Roman"/>
          <w:color w:val="000000"/>
          <w:sz w:val="30"/>
          <w:szCs w:val="30"/>
        </w:rPr>
        <w:t>质量</w:t>
      </w:r>
      <w:r>
        <w:rPr>
          <w:rFonts w:ascii="宋体" w:hAnsi="宋体" w:eastAsia="宋体" w:cs="Times New Roman"/>
          <w:color w:val="000000"/>
          <w:sz w:val="30"/>
          <w:szCs w:val="30"/>
        </w:rPr>
        <w:t>综合</w:t>
      </w:r>
      <w:r>
        <w:rPr>
          <w:rFonts w:ascii="宋体" w:hAnsi="宋体" w:eastAsia="宋体" w:cs="Times New Roman"/>
          <w:sz w:val="30"/>
          <w:szCs w:val="30"/>
        </w:rPr>
        <w:t>评价结果计分排名</w:t>
      </w:r>
      <w:r>
        <w:rPr>
          <w:rFonts w:ascii="宋体" w:hAnsi="宋体" w:eastAsia="宋体" w:cs="Times New Roman"/>
          <w:color w:val="000000"/>
          <w:sz w:val="30"/>
          <w:szCs w:val="30"/>
        </w:rPr>
        <w:t>，排名在下</w:t>
      </w:r>
      <w:r>
        <w:rPr>
          <w:rFonts w:hint="eastAsia" w:ascii="宋体" w:hAnsi="宋体" w:eastAsia="宋体" w:cs="Times New Roman"/>
          <w:color w:val="000000"/>
          <w:sz w:val="30"/>
          <w:szCs w:val="30"/>
        </w:rPr>
        <w:t>年度</w:t>
      </w:r>
      <w:r>
        <w:rPr>
          <w:rFonts w:ascii="宋体" w:hAnsi="宋体" w:eastAsia="宋体" w:cs="Times New Roman"/>
          <w:color w:val="000000"/>
          <w:sz w:val="30"/>
          <w:szCs w:val="30"/>
        </w:rPr>
        <w:t>评定结果公布前有效。</w:t>
      </w:r>
    </w:p>
    <w:p>
      <w:pPr>
        <w:shd w:val="clear" w:color="auto" w:fill="FFFFFF"/>
        <w:spacing w:line="600" w:lineRule="exact"/>
        <w:jc w:val="center"/>
        <w:rPr>
          <w:rFonts w:ascii="Times New Roman" w:eastAsia="仿宋_GB2312"/>
          <w:b/>
          <w:color w:val="000000"/>
          <w:sz w:val="32"/>
          <w:szCs w:val="32"/>
        </w:rPr>
      </w:pPr>
      <w:r>
        <w:rPr>
          <w:rFonts w:hint="eastAsia" w:ascii="宋体" w:hAnsi="宋体" w:eastAsia="宋体" w:cs="Times New Roman"/>
          <w:b/>
          <w:color w:val="000000"/>
          <w:sz w:val="30"/>
          <w:szCs w:val="30"/>
        </w:rPr>
        <w:t>第三章 结果运用</w:t>
      </w:r>
    </w:p>
    <w:p>
      <w:pPr>
        <w:shd w:val="clear" w:color="auto" w:fill="FFFFFF"/>
        <w:spacing w:line="600" w:lineRule="exact"/>
        <w:ind w:firstLine="639"/>
        <w:rPr>
          <w:rFonts w:ascii="宋体" w:hAnsi="宋体" w:eastAsia="宋体" w:cs="Times New Roman"/>
          <w:sz w:val="30"/>
          <w:szCs w:val="30"/>
        </w:rPr>
      </w:pPr>
      <w:r>
        <w:rPr>
          <w:rFonts w:ascii="宋体" w:hAnsi="宋体" w:eastAsia="宋体" w:cs="Times New Roman"/>
          <w:b/>
          <w:bCs/>
          <w:sz w:val="30"/>
          <w:szCs w:val="30"/>
        </w:rPr>
        <w:t>第</w:t>
      </w:r>
      <w:r>
        <w:rPr>
          <w:rFonts w:hint="eastAsia" w:ascii="宋体" w:hAnsi="宋体" w:eastAsia="宋体" w:cs="Times New Roman"/>
          <w:b/>
          <w:bCs/>
          <w:sz w:val="30"/>
          <w:szCs w:val="30"/>
        </w:rPr>
        <w:t>十</w:t>
      </w:r>
      <w:r>
        <w:rPr>
          <w:rFonts w:ascii="宋体" w:hAnsi="宋体" w:eastAsia="宋体" w:cs="Times New Roman"/>
          <w:b/>
          <w:bCs/>
          <w:sz w:val="30"/>
          <w:szCs w:val="30"/>
        </w:rPr>
        <w:t>条</w:t>
      </w:r>
      <w:r>
        <w:rPr>
          <w:rFonts w:hint="eastAsia" w:ascii="宋体" w:hAnsi="宋体" w:eastAsia="宋体" w:cs="Times New Roman"/>
          <w:sz w:val="30"/>
          <w:szCs w:val="30"/>
        </w:rPr>
        <w:t xml:space="preserve"> </w:t>
      </w:r>
      <w:r>
        <w:rPr>
          <w:rFonts w:ascii="宋体" w:hAnsi="宋体" w:eastAsia="宋体" w:cs="Times New Roman"/>
          <w:sz w:val="30"/>
          <w:szCs w:val="30"/>
        </w:rPr>
        <w:t>预拌混凝土企业</w:t>
      </w:r>
      <w:r>
        <w:rPr>
          <w:rFonts w:hint="eastAsia" w:ascii="宋体" w:hAnsi="宋体" w:eastAsia="宋体" w:cs="Times New Roman"/>
          <w:sz w:val="30"/>
          <w:szCs w:val="30"/>
        </w:rPr>
        <w:t>质量</w:t>
      </w:r>
      <w:r>
        <w:rPr>
          <w:rFonts w:ascii="宋体" w:hAnsi="宋体" w:eastAsia="宋体" w:cs="Times New Roman"/>
          <w:sz w:val="30"/>
          <w:szCs w:val="30"/>
        </w:rPr>
        <w:t>综合评价结果</w:t>
      </w:r>
      <w:r>
        <w:rPr>
          <w:rFonts w:hint="eastAsia" w:ascii="宋体" w:hAnsi="宋体" w:eastAsia="宋体" w:cs="Times New Roman"/>
          <w:sz w:val="30"/>
          <w:szCs w:val="30"/>
        </w:rPr>
        <w:t>排名，将作为</w:t>
      </w:r>
      <w:r>
        <w:rPr>
          <w:rFonts w:hint="eastAsia" w:ascii="Times New Roman" w:hAnsi="Times New Roman"/>
          <w:sz w:val="28"/>
        </w:rPr>
        <w:t>监管部门分类管理</w:t>
      </w:r>
      <w:r>
        <w:rPr>
          <w:rFonts w:hint="eastAsia" w:ascii="宋体" w:hAnsi="宋体" w:eastAsia="宋体" w:cs="Times New Roman"/>
          <w:sz w:val="30"/>
          <w:szCs w:val="30"/>
        </w:rPr>
        <w:t>和政府投资项目选用</w:t>
      </w:r>
      <w:r>
        <w:rPr>
          <w:rFonts w:ascii="宋体" w:hAnsi="宋体" w:eastAsia="宋体" w:cs="Times New Roman"/>
          <w:sz w:val="30"/>
          <w:szCs w:val="30"/>
        </w:rPr>
        <w:t>混凝土供应商</w:t>
      </w:r>
      <w:r>
        <w:rPr>
          <w:rFonts w:hint="eastAsia" w:ascii="Times New Roman" w:hAnsi="Times New Roman"/>
          <w:sz w:val="30"/>
          <w:szCs w:val="30"/>
        </w:rPr>
        <w:t>的依据</w:t>
      </w:r>
      <w:r>
        <w:rPr>
          <w:rFonts w:ascii="宋体" w:hAnsi="宋体" w:eastAsia="宋体" w:cs="Times New Roman"/>
          <w:sz w:val="30"/>
          <w:szCs w:val="30"/>
        </w:rPr>
        <w:t>。</w:t>
      </w:r>
    </w:p>
    <w:p>
      <w:pPr>
        <w:shd w:val="clear" w:color="auto" w:fill="FFFFFF"/>
        <w:spacing w:line="600" w:lineRule="exact"/>
        <w:jc w:val="center"/>
        <w:rPr>
          <w:rFonts w:ascii="宋体" w:hAnsi="宋体" w:eastAsia="宋体" w:cs="Times New Roman"/>
          <w:color w:val="FF0000"/>
          <w:sz w:val="30"/>
          <w:szCs w:val="30"/>
        </w:rPr>
      </w:pPr>
      <w:r>
        <w:rPr>
          <w:rFonts w:hint="eastAsia" w:ascii="宋体" w:hAnsi="宋体" w:eastAsia="宋体" w:cs="Times New Roman"/>
          <w:b/>
          <w:color w:val="000000"/>
          <w:sz w:val="30"/>
          <w:szCs w:val="30"/>
        </w:rPr>
        <w:t>第四章 附则</w:t>
      </w:r>
    </w:p>
    <w:p>
      <w:pPr>
        <w:shd w:val="clear" w:color="auto" w:fill="FFFFFF"/>
        <w:spacing w:line="600" w:lineRule="exact"/>
        <w:ind w:firstLine="639"/>
        <w:rPr>
          <w:rFonts w:ascii="宋体" w:hAnsi="宋体" w:eastAsia="宋体" w:cs="Times New Roman"/>
          <w:sz w:val="30"/>
          <w:szCs w:val="30"/>
        </w:rPr>
      </w:pPr>
      <w:r>
        <w:rPr>
          <w:rFonts w:hint="eastAsia" w:ascii="宋体" w:hAnsi="宋体" w:eastAsia="宋体" w:cs="Times New Roman"/>
          <w:b/>
          <w:bCs/>
          <w:color w:val="000000"/>
          <w:sz w:val="30"/>
          <w:szCs w:val="30"/>
        </w:rPr>
        <w:t>第十一条</w:t>
      </w:r>
      <w:r>
        <w:rPr>
          <w:rFonts w:hint="eastAsia" w:ascii="Times New Roman" w:eastAsia="仿宋_GB2312"/>
          <w:b/>
          <w:bCs/>
          <w:color w:val="000000"/>
          <w:sz w:val="32"/>
          <w:szCs w:val="32"/>
        </w:rPr>
        <w:t xml:space="preserve"> </w:t>
      </w:r>
      <w:r>
        <w:rPr>
          <w:rFonts w:ascii="宋体" w:hAnsi="宋体" w:eastAsia="宋体" w:cs="Times New Roman"/>
          <w:sz w:val="30"/>
          <w:szCs w:val="30"/>
        </w:rPr>
        <w:t>本办法由</w:t>
      </w:r>
      <w:r>
        <w:rPr>
          <w:rFonts w:hint="eastAsia" w:ascii="宋体" w:hAnsi="宋体" w:eastAsia="宋体" w:cs="Times New Roman"/>
          <w:sz w:val="30"/>
          <w:szCs w:val="30"/>
        </w:rPr>
        <w:t>泰州市</w:t>
      </w:r>
      <w:r>
        <w:rPr>
          <w:rFonts w:ascii="宋体" w:hAnsi="宋体" w:eastAsia="宋体" w:cs="Times New Roman"/>
          <w:sz w:val="30"/>
          <w:szCs w:val="30"/>
        </w:rPr>
        <w:t>住房和城乡建设</w:t>
      </w:r>
      <w:r>
        <w:rPr>
          <w:rFonts w:hint="eastAsia" w:ascii="宋体" w:hAnsi="宋体" w:eastAsia="宋体" w:cs="Times New Roman"/>
          <w:sz w:val="30"/>
          <w:szCs w:val="30"/>
        </w:rPr>
        <w:t>局</w:t>
      </w:r>
      <w:r>
        <w:rPr>
          <w:rFonts w:ascii="宋体" w:hAnsi="宋体" w:eastAsia="宋体" w:cs="Times New Roman"/>
          <w:sz w:val="30"/>
          <w:szCs w:val="30"/>
        </w:rPr>
        <w:t>负责解释。</w:t>
      </w:r>
    </w:p>
    <w:p>
      <w:pPr>
        <w:shd w:val="clear" w:color="auto" w:fill="FFFFFF"/>
        <w:spacing w:line="600" w:lineRule="exact"/>
        <w:ind w:firstLine="639"/>
        <w:rPr>
          <w:rFonts w:ascii="宋体" w:hAnsi="宋体" w:eastAsia="宋体" w:cs="Times New Roman"/>
          <w:sz w:val="30"/>
          <w:szCs w:val="30"/>
        </w:rPr>
      </w:pPr>
      <w:r>
        <w:rPr>
          <w:rFonts w:ascii="宋体" w:hAnsi="宋体" w:eastAsia="宋体" w:cs="Times New Roman"/>
          <w:b/>
          <w:bCs/>
          <w:color w:val="000000"/>
          <w:sz w:val="30"/>
          <w:szCs w:val="30"/>
        </w:rPr>
        <w:t>第十</w:t>
      </w:r>
      <w:r>
        <w:rPr>
          <w:rFonts w:hint="eastAsia" w:ascii="宋体" w:hAnsi="宋体" w:eastAsia="宋体" w:cs="Times New Roman"/>
          <w:b/>
          <w:bCs/>
          <w:color w:val="000000"/>
          <w:sz w:val="30"/>
          <w:szCs w:val="30"/>
        </w:rPr>
        <w:t>二</w:t>
      </w:r>
      <w:r>
        <w:rPr>
          <w:rFonts w:ascii="宋体" w:hAnsi="宋体" w:eastAsia="宋体" w:cs="Times New Roman"/>
          <w:b/>
          <w:bCs/>
          <w:color w:val="000000"/>
          <w:sz w:val="30"/>
          <w:szCs w:val="30"/>
        </w:rPr>
        <w:t>条</w:t>
      </w:r>
      <w:r>
        <w:rPr>
          <w:rFonts w:ascii="Times New Roman" w:eastAsia="仿宋_GB2312"/>
          <w:color w:val="000000"/>
          <w:sz w:val="32"/>
          <w:szCs w:val="32"/>
        </w:rPr>
        <w:t xml:space="preserve"> </w:t>
      </w:r>
      <w:r>
        <w:rPr>
          <w:rFonts w:ascii="宋体" w:hAnsi="宋体" w:eastAsia="宋体" w:cs="Times New Roman"/>
          <w:sz w:val="30"/>
          <w:szCs w:val="30"/>
        </w:rPr>
        <w:t>本办法自</w:t>
      </w:r>
      <w:r>
        <w:rPr>
          <w:rFonts w:hint="eastAsia" w:ascii="宋体" w:hAnsi="宋体" w:eastAsia="宋体" w:cs="Times New Roman"/>
          <w:sz w:val="30"/>
          <w:szCs w:val="30"/>
        </w:rPr>
        <w:t xml:space="preserve"> 2021</w:t>
      </w:r>
      <w:r>
        <w:rPr>
          <w:rFonts w:ascii="宋体" w:hAnsi="宋体" w:eastAsia="宋体" w:cs="Times New Roman"/>
          <w:sz w:val="30"/>
          <w:szCs w:val="30"/>
        </w:rPr>
        <w:t>年</w:t>
      </w:r>
      <w:r>
        <w:rPr>
          <w:rFonts w:hint="eastAsia" w:ascii="宋体" w:hAnsi="宋体" w:eastAsia="宋体" w:cs="Times New Roman"/>
          <w:sz w:val="30"/>
          <w:szCs w:val="30"/>
        </w:rPr>
        <w:t>7</w:t>
      </w:r>
      <w:r>
        <w:rPr>
          <w:rFonts w:ascii="宋体" w:hAnsi="宋体" w:eastAsia="宋体" w:cs="Times New Roman"/>
          <w:sz w:val="30"/>
          <w:szCs w:val="30"/>
        </w:rPr>
        <w:t>月</w:t>
      </w:r>
      <w:r>
        <w:rPr>
          <w:rFonts w:hint="eastAsia" w:ascii="宋体" w:hAnsi="宋体" w:eastAsia="宋体" w:cs="Times New Roman"/>
          <w:sz w:val="30"/>
          <w:szCs w:val="30"/>
        </w:rPr>
        <w:t>1</w:t>
      </w:r>
      <w:r>
        <w:rPr>
          <w:rFonts w:ascii="宋体" w:hAnsi="宋体" w:eastAsia="宋体" w:cs="Times New Roman"/>
          <w:sz w:val="30"/>
          <w:szCs w:val="30"/>
        </w:rPr>
        <w:t>日起施行。</w:t>
      </w:r>
    </w:p>
    <w:p>
      <w:pPr>
        <w:shd w:val="clear" w:color="auto" w:fill="FFFFFF"/>
        <w:spacing w:line="600" w:lineRule="exact"/>
        <w:ind w:firstLine="600" w:firstLineChars="200"/>
        <w:rPr>
          <w:rFonts w:ascii="宋体" w:hAnsi="宋体" w:eastAsia="宋体" w:cs="Times New Roman"/>
          <w:sz w:val="30"/>
          <w:szCs w:val="30"/>
        </w:rPr>
      </w:pPr>
    </w:p>
    <w:p>
      <w:pPr>
        <w:shd w:val="clear" w:color="auto" w:fill="FFFFFF"/>
        <w:spacing w:line="600" w:lineRule="exact"/>
        <w:ind w:firstLine="640" w:firstLineChars="200"/>
        <w:rPr>
          <w:rFonts w:ascii="宋体" w:hAnsi="宋体" w:eastAsia="宋体" w:cs="Times New Roman"/>
          <w:sz w:val="30"/>
          <w:szCs w:val="30"/>
        </w:rPr>
      </w:pPr>
      <w:r>
        <w:rPr>
          <w:rFonts w:ascii="Times New Roman" w:eastAsia="仿宋_GB2312"/>
          <w:bCs/>
          <w:color w:val="000000"/>
          <w:sz w:val="32"/>
          <w:szCs w:val="32"/>
        </w:rPr>
        <w:t>附件：1．</w:t>
      </w:r>
      <w:r>
        <w:rPr>
          <w:rFonts w:hint="eastAsia" w:ascii="宋体" w:hAnsi="宋体" w:eastAsia="宋体" w:cs="Times New Roman"/>
          <w:sz w:val="30"/>
          <w:szCs w:val="30"/>
        </w:rPr>
        <w:t>泰州市</w:t>
      </w:r>
      <w:r>
        <w:rPr>
          <w:rFonts w:ascii="宋体" w:hAnsi="宋体" w:eastAsia="宋体" w:cs="Times New Roman"/>
          <w:sz w:val="30"/>
          <w:szCs w:val="30"/>
        </w:rPr>
        <w:t>预拌混凝土企业</w:t>
      </w:r>
      <w:r>
        <w:rPr>
          <w:rFonts w:hint="eastAsia" w:ascii="宋体" w:hAnsi="宋体" w:eastAsia="宋体" w:cs="Times New Roman"/>
          <w:sz w:val="30"/>
          <w:szCs w:val="30"/>
        </w:rPr>
        <w:t>质量</w:t>
      </w:r>
      <w:r>
        <w:rPr>
          <w:rFonts w:ascii="宋体" w:hAnsi="宋体" w:eastAsia="宋体" w:cs="Times New Roman"/>
          <w:sz w:val="30"/>
          <w:szCs w:val="30"/>
        </w:rPr>
        <w:t>综合评价承诺书</w:t>
      </w:r>
    </w:p>
    <w:p>
      <w:pPr>
        <w:shd w:val="clear" w:color="auto" w:fill="FFFFFF"/>
        <w:spacing w:line="600" w:lineRule="exact"/>
        <w:ind w:firstLine="640" w:firstLineChars="200"/>
        <w:rPr>
          <w:rFonts w:ascii="宋体" w:hAnsi="宋体" w:eastAsia="宋体" w:cs="Times New Roman"/>
          <w:sz w:val="30"/>
          <w:szCs w:val="30"/>
        </w:rPr>
      </w:pPr>
      <w:r>
        <w:rPr>
          <w:rFonts w:ascii="Times New Roman" w:eastAsia="仿宋_GB2312"/>
          <w:bCs/>
          <w:color w:val="000000"/>
          <w:sz w:val="32"/>
          <w:szCs w:val="32"/>
        </w:rPr>
        <w:t>　　　2．</w:t>
      </w:r>
      <w:r>
        <w:rPr>
          <w:rFonts w:hint="eastAsia" w:ascii="宋体" w:hAnsi="宋体" w:eastAsia="宋体" w:cs="Times New Roman"/>
          <w:sz w:val="30"/>
          <w:szCs w:val="30"/>
        </w:rPr>
        <w:t>泰州市</w:t>
      </w:r>
      <w:r>
        <w:rPr>
          <w:rFonts w:ascii="宋体" w:hAnsi="宋体" w:eastAsia="宋体" w:cs="Times New Roman"/>
          <w:sz w:val="30"/>
          <w:szCs w:val="30"/>
        </w:rPr>
        <w:t>预拌混凝土企业</w:t>
      </w:r>
      <w:r>
        <w:rPr>
          <w:rFonts w:hint="eastAsia" w:ascii="宋体" w:hAnsi="宋体" w:eastAsia="宋体" w:cs="Times New Roman"/>
          <w:sz w:val="30"/>
          <w:szCs w:val="30"/>
        </w:rPr>
        <w:t>质量</w:t>
      </w:r>
      <w:r>
        <w:rPr>
          <w:rFonts w:ascii="宋体" w:hAnsi="宋体" w:eastAsia="宋体" w:cs="Times New Roman"/>
          <w:sz w:val="30"/>
          <w:szCs w:val="30"/>
        </w:rPr>
        <w:t>综合评价评分表</w:t>
      </w:r>
    </w:p>
    <w:p>
      <w:pPr>
        <w:shd w:val="clear" w:color="auto" w:fill="FFFFFF"/>
        <w:spacing w:line="600" w:lineRule="exact"/>
        <w:ind w:firstLine="639"/>
        <w:rPr>
          <w:rFonts w:ascii="Times New Roman" w:eastAsia="仿宋_GB2312"/>
          <w:b/>
          <w:bCs/>
          <w:color w:val="000000"/>
          <w:sz w:val="32"/>
          <w:szCs w:val="32"/>
        </w:rPr>
      </w:pPr>
    </w:p>
    <w:p>
      <w:pPr>
        <w:ind w:firstLine="596" w:firstLineChars="198"/>
        <w:rPr>
          <w:rFonts w:ascii="宋体" w:hAnsi="宋体" w:eastAsia="宋体" w:cs="Times New Roman"/>
          <w:b/>
          <w:color w:val="000000"/>
          <w:sz w:val="30"/>
          <w:szCs w:val="30"/>
        </w:rPr>
      </w:pPr>
    </w:p>
    <w:p>
      <w:pPr>
        <w:ind w:firstLine="596" w:firstLineChars="198"/>
        <w:rPr>
          <w:rFonts w:ascii="宋体" w:hAnsi="宋体" w:eastAsia="宋体" w:cs="Times New Roman"/>
          <w:b/>
          <w:color w:val="000000"/>
          <w:sz w:val="30"/>
          <w:szCs w:val="30"/>
        </w:rPr>
      </w:pPr>
    </w:p>
    <w:p>
      <w:pPr>
        <w:ind w:firstLine="596" w:firstLineChars="198"/>
        <w:rPr>
          <w:rFonts w:ascii="宋体" w:hAnsi="宋体" w:eastAsia="宋体" w:cs="Times New Roman"/>
          <w:b/>
          <w:color w:val="000000"/>
          <w:sz w:val="30"/>
          <w:szCs w:val="30"/>
        </w:rPr>
      </w:pPr>
    </w:p>
    <w:p>
      <w:pPr>
        <w:ind w:firstLine="596" w:firstLineChars="198"/>
        <w:rPr>
          <w:rFonts w:ascii="宋体" w:hAnsi="宋体" w:eastAsia="宋体" w:cs="Times New Roman"/>
          <w:b/>
          <w:color w:val="000000"/>
          <w:sz w:val="30"/>
          <w:szCs w:val="30"/>
        </w:rPr>
      </w:pPr>
    </w:p>
    <w:p>
      <w:pPr>
        <w:ind w:firstLine="596" w:firstLineChars="198"/>
        <w:rPr>
          <w:rFonts w:ascii="宋体" w:hAnsi="宋体" w:eastAsia="宋体" w:cs="Times New Roman"/>
          <w:b/>
          <w:color w:val="000000"/>
          <w:sz w:val="30"/>
          <w:szCs w:val="30"/>
        </w:rPr>
      </w:pPr>
    </w:p>
    <w:p>
      <w:pPr>
        <w:ind w:firstLine="596" w:firstLineChars="198"/>
        <w:rPr>
          <w:rFonts w:ascii="宋体" w:hAnsi="宋体" w:eastAsia="宋体" w:cs="Times New Roman"/>
          <w:b/>
          <w:color w:val="000000"/>
          <w:sz w:val="30"/>
          <w:szCs w:val="30"/>
        </w:rPr>
      </w:pPr>
    </w:p>
    <w:p>
      <w:pPr>
        <w:ind w:firstLine="596" w:firstLineChars="198"/>
        <w:rPr>
          <w:rFonts w:ascii="宋体" w:hAnsi="宋体" w:eastAsia="宋体" w:cs="Times New Roman"/>
          <w:b/>
          <w:color w:val="000000"/>
          <w:sz w:val="30"/>
          <w:szCs w:val="30"/>
        </w:rPr>
      </w:pPr>
    </w:p>
    <w:p>
      <w:pPr>
        <w:ind w:firstLine="596" w:firstLineChars="198"/>
        <w:rPr>
          <w:rFonts w:ascii="宋体" w:hAnsi="宋体" w:eastAsia="宋体" w:cs="Times New Roman"/>
          <w:b/>
          <w:color w:val="000000"/>
          <w:sz w:val="30"/>
          <w:szCs w:val="30"/>
        </w:rPr>
      </w:pPr>
    </w:p>
    <w:p>
      <w:pPr>
        <w:ind w:firstLine="596" w:firstLineChars="198"/>
        <w:rPr>
          <w:rFonts w:ascii="宋体" w:hAnsi="宋体" w:eastAsia="宋体" w:cs="Times New Roman"/>
          <w:b/>
          <w:color w:val="000000"/>
          <w:sz w:val="30"/>
          <w:szCs w:val="30"/>
        </w:rPr>
      </w:pPr>
    </w:p>
    <w:p>
      <w:pPr>
        <w:ind w:firstLine="596" w:firstLineChars="198"/>
        <w:rPr>
          <w:rFonts w:ascii="宋体" w:hAnsi="宋体" w:eastAsia="宋体" w:cs="Times New Roman"/>
          <w:b/>
          <w:color w:val="000000"/>
          <w:sz w:val="30"/>
          <w:szCs w:val="30"/>
        </w:rPr>
      </w:pPr>
    </w:p>
    <w:p>
      <w:pPr>
        <w:ind w:firstLine="596" w:firstLineChars="198"/>
        <w:rPr>
          <w:rFonts w:ascii="宋体" w:hAnsi="宋体" w:eastAsia="宋体" w:cs="Times New Roman"/>
          <w:b/>
          <w:color w:val="000000"/>
          <w:sz w:val="30"/>
          <w:szCs w:val="30"/>
        </w:rPr>
      </w:pPr>
    </w:p>
    <w:p>
      <w:pPr>
        <w:ind w:firstLine="596" w:firstLineChars="198"/>
        <w:rPr>
          <w:rFonts w:ascii="宋体" w:hAnsi="宋体" w:eastAsia="宋体" w:cs="Times New Roman"/>
          <w:b/>
          <w:color w:val="000000"/>
          <w:sz w:val="30"/>
          <w:szCs w:val="30"/>
        </w:rPr>
      </w:pPr>
    </w:p>
    <w:p>
      <w:pPr>
        <w:ind w:firstLine="596" w:firstLineChars="198"/>
        <w:rPr>
          <w:rFonts w:ascii="宋体" w:hAnsi="宋体" w:eastAsia="宋体" w:cs="Times New Roman"/>
          <w:b/>
          <w:color w:val="000000"/>
          <w:sz w:val="30"/>
          <w:szCs w:val="30"/>
        </w:rPr>
      </w:pPr>
    </w:p>
    <w:p>
      <w:pPr>
        <w:shd w:val="clear" w:color="auto" w:fill="FFFFFF"/>
        <w:spacing w:line="600" w:lineRule="exact"/>
        <w:ind w:right="44"/>
        <w:rPr>
          <w:rFonts w:ascii="黑体" w:eastAsia="黑体"/>
          <w:bCs/>
          <w:color w:val="000000"/>
          <w:sz w:val="32"/>
          <w:szCs w:val="32"/>
        </w:rPr>
      </w:pPr>
      <w:r>
        <w:rPr>
          <w:rFonts w:hint="eastAsia" w:ascii="黑体" w:eastAsia="黑体"/>
          <w:bCs/>
          <w:color w:val="000000"/>
          <w:sz w:val="32"/>
          <w:szCs w:val="32"/>
        </w:rPr>
        <w:t>附件1</w:t>
      </w:r>
    </w:p>
    <w:p>
      <w:pPr>
        <w:shd w:val="clear" w:color="auto" w:fill="FFFFFF"/>
        <w:spacing w:line="600" w:lineRule="exact"/>
        <w:ind w:right="44"/>
        <w:rPr>
          <w:rFonts w:ascii="Times New Roman" w:eastAsia="仿宋_GB2312"/>
          <w:b/>
          <w:bCs/>
          <w:color w:val="000000"/>
          <w:sz w:val="32"/>
          <w:szCs w:val="32"/>
        </w:rPr>
      </w:pPr>
    </w:p>
    <w:p>
      <w:pPr>
        <w:jc w:val="center"/>
        <w:rPr>
          <w:rFonts w:asciiTheme="majorEastAsia" w:hAnsiTheme="majorEastAsia" w:eastAsiaTheme="majorEastAsia"/>
          <w:b/>
          <w:bCs/>
          <w:color w:val="000000"/>
          <w:sz w:val="32"/>
          <w:szCs w:val="32"/>
        </w:rPr>
      </w:pPr>
      <w:r>
        <w:rPr>
          <w:rFonts w:hint="eastAsia" w:asciiTheme="majorEastAsia" w:hAnsiTheme="majorEastAsia" w:eastAsiaTheme="majorEastAsia"/>
          <w:b/>
          <w:bCs/>
          <w:color w:val="000000"/>
          <w:sz w:val="32"/>
          <w:szCs w:val="32"/>
        </w:rPr>
        <w:t>泰州市预拌混凝土企业质量综合评价承诺书</w:t>
      </w:r>
    </w:p>
    <w:p>
      <w:pPr>
        <w:shd w:val="clear" w:color="auto" w:fill="FFFFFF"/>
        <w:spacing w:line="600" w:lineRule="exact"/>
        <w:ind w:firstLine="640"/>
        <w:rPr>
          <w:rFonts w:ascii="Times New Roman" w:eastAsia="仿宋_GB2312"/>
          <w:color w:val="000000"/>
          <w:sz w:val="32"/>
          <w:szCs w:val="32"/>
        </w:rPr>
      </w:pPr>
    </w:p>
    <w:p>
      <w:pPr>
        <w:ind w:firstLine="630"/>
        <w:rPr>
          <w:rFonts w:asciiTheme="majorEastAsia" w:hAnsiTheme="majorEastAsia" w:eastAsiaTheme="majorEastAsia"/>
          <w:b/>
          <w:bCs/>
          <w:color w:val="000000"/>
          <w:sz w:val="30"/>
          <w:szCs w:val="30"/>
        </w:rPr>
      </w:pPr>
      <w:r>
        <w:rPr>
          <w:rFonts w:hint="eastAsia" w:asciiTheme="majorEastAsia" w:hAnsiTheme="majorEastAsia" w:eastAsiaTheme="majorEastAsia"/>
          <w:color w:val="000000"/>
          <w:sz w:val="30"/>
          <w:szCs w:val="30"/>
        </w:rPr>
        <w:t xml:space="preserve"> </w:t>
      </w:r>
      <w:r>
        <w:rPr>
          <w:rFonts w:asciiTheme="majorEastAsia" w:hAnsiTheme="majorEastAsia" w:eastAsiaTheme="majorEastAsia"/>
          <w:color w:val="000000"/>
          <w:sz w:val="30"/>
          <w:szCs w:val="30"/>
        </w:rPr>
        <w:t>本企业成立于</w:t>
      </w:r>
      <w:r>
        <w:rPr>
          <w:rFonts w:asciiTheme="majorEastAsia" w:hAnsiTheme="majorEastAsia" w:eastAsiaTheme="majorEastAsia"/>
          <w:color w:val="000000"/>
          <w:sz w:val="30"/>
          <w:szCs w:val="30"/>
          <w:u w:val="single"/>
        </w:rPr>
        <w:t>   </w:t>
      </w:r>
      <w:r>
        <w:rPr>
          <w:rFonts w:hint="eastAsia" w:asciiTheme="majorEastAsia" w:hAnsiTheme="majorEastAsia" w:eastAsiaTheme="majorEastAsia"/>
          <w:color w:val="000000"/>
          <w:sz w:val="30"/>
          <w:szCs w:val="30"/>
          <w:u w:val="single"/>
        </w:rPr>
        <w:t xml:space="preserve">   </w:t>
      </w:r>
      <w:r>
        <w:rPr>
          <w:rFonts w:asciiTheme="majorEastAsia" w:hAnsiTheme="majorEastAsia" w:eastAsiaTheme="majorEastAsia"/>
          <w:color w:val="000000"/>
          <w:sz w:val="30"/>
          <w:szCs w:val="30"/>
          <w:u w:val="single"/>
        </w:rPr>
        <w:t> </w:t>
      </w:r>
      <w:r>
        <w:rPr>
          <w:rFonts w:asciiTheme="majorEastAsia" w:hAnsiTheme="majorEastAsia" w:eastAsiaTheme="majorEastAsia"/>
          <w:color w:val="000000"/>
          <w:sz w:val="30"/>
          <w:szCs w:val="30"/>
        </w:rPr>
        <w:t>年</w:t>
      </w:r>
      <w:r>
        <w:rPr>
          <w:rFonts w:asciiTheme="majorEastAsia" w:hAnsiTheme="majorEastAsia" w:eastAsiaTheme="majorEastAsia"/>
          <w:color w:val="000000"/>
          <w:sz w:val="30"/>
          <w:szCs w:val="30"/>
          <w:u w:val="single"/>
        </w:rPr>
        <w:t>   </w:t>
      </w:r>
      <w:r>
        <w:rPr>
          <w:rFonts w:hint="eastAsia" w:asciiTheme="majorEastAsia" w:hAnsiTheme="majorEastAsia" w:eastAsiaTheme="majorEastAsia"/>
          <w:color w:val="000000"/>
          <w:sz w:val="30"/>
          <w:szCs w:val="30"/>
          <w:u w:val="single"/>
        </w:rPr>
        <w:t xml:space="preserve">  </w:t>
      </w:r>
      <w:r>
        <w:rPr>
          <w:rFonts w:asciiTheme="majorEastAsia" w:hAnsiTheme="majorEastAsia" w:eastAsiaTheme="majorEastAsia"/>
          <w:color w:val="000000"/>
          <w:sz w:val="30"/>
          <w:szCs w:val="30"/>
          <w:u w:val="single"/>
        </w:rPr>
        <w:t> </w:t>
      </w:r>
      <w:r>
        <w:rPr>
          <w:rFonts w:asciiTheme="majorEastAsia" w:hAnsiTheme="majorEastAsia" w:eastAsiaTheme="majorEastAsia"/>
          <w:color w:val="000000"/>
          <w:sz w:val="30"/>
          <w:szCs w:val="30"/>
        </w:rPr>
        <w:t>月，地址位于：</w:t>
      </w:r>
      <w:r>
        <w:rPr>
          <w:rFonts w:asciiTheme="majorEastAsia" w:hAnsiTheme="majorEastAsia" w:eastAsiaTheme="majorEastAsia"/>
          <w:color w:val="000000"/>
          <w:sz w:val="30"/>
          <w:szCs w:val="30"/>
          <w:u w:val="single"/>
        </w:rPr>
        <w:t>    </w:t>
      </w:r>
      <w:r>
        <w:rPr>
          <w:rFonts w:asciiTheme="majorEastAsia" w:hAnsiTheme="majorEastAsia" w:eastAsiaTheme="majorEastAsia"/>
          <w:color w:val="000000"/>
          <w:sz w:val="30"/>
          <w:szCs w:val="30"/>
        </w:rPr>
        <w:t>市</w:t>
      </w:r>
      <w:r>
        <w:rPr>
          <w:rFonts w:asciiTheme="majorEastAsia" w:hAnsiTheme="majorEastAsia" w:eastAsiaTheme="majorEastAsia"/>
          <w:color w:val="000000"/>
          <w:sz w:val="30"/>
          <w:szCs w:val="30"/>
          <w:u w:val="single"/>
        </w:rPr>
        <w:t>    </w:t>
      </w:r>
      <w:r>
        <w:rPr>
          <w:rFonts w:asciiTheme="majorEastAsia" w:hAnsiTheme="majorEastAsia" w:eastAsiaTheme="majorEastAsia"/>
          <w:color w:val="000000"/>
          <w:sz w:val="30"/>
          <w:szCs w:val="30"/>
        </w:rPr>
        <w:t>区</w:t>
      </w:r>
      <w:r>
        <w:rPr>
          <w:rFonts w:asciiTheme="majorEastAsia" w:hAnsiTheme="majorEastAsia" w:eastAsiaTheme="majorEastAsia"/>
          <w:color w:val="000000"/>
          <w:sz w:val="30"/>
          <w:szCs w:val="30"/>
          <w:u w:val="single"/>
        </w:rPr>
        <w:t>     </w:t>
      </w:r>
      <w:r>
        <w:rPr>
          <w:rFonts w:asciiTheme="majorEastAsia" w:hAnsiTheme="majorEastAsia" w:eastAsiaTheme="majorEastAsia"/>
          <w:color w:val="000000"/>
          <w:sz w:val="30"/>
          <w:szCs w:val="30"/>
        </w:rPr>
        <w:t>路</w:t>
      </w:r>
      <w:r>
        <w:rPr>
          <w:rFonts w:asciiTheme="majorEastAsia" w:hAnsiTheme="majorEastAsia" w:eastAsiaTheme="majorEastAsia"/>
          <w:color w:val="000000"/>
          <w:sz w:val="30"/>
          <w:szCs w:val="30"/>
          <w:u w:val="single"/>
        </w:rPr>
        <w:t>   </w:t>
      </w:r>
      <w:r>
        <w:rPr>
          <w:rFonts w:asciiTheme="majorEastAsia" w:hAnsiTheme="majorEastAsia" w:eastAsiaTheme="majorEastAsia"/>
          <w:color w:val="000000"/>
          <w:sz w:val="30"/>
          <w:szCs w:val="30"/>
        </w:rPr>
        <w:t>号,法人代表是：</w:t>
      </w:r>
      <w:r>
        <w:rPr>
          <w:rFonts w:asciiTheme="majorEastAsia" w:hAnsiTheme="majorEastAsia" w:eastAsiaTheme="majorEastAsia"/>
          <w:color w:val="000000"/>
          <w:sz w:val="30"/>
          <w:szCs w:val="30"/>
          <w:u w:val="single"/>
        </w:rPr>
        <w:t>  </w:t>
      </w:r>
      <w:r>
        <w:rPr>
          <w:rFonts w:hint="eastAsia" w:asciiTheme="majorEastAsia" w:hAnsiTheme="majorEastAsia" w:eastAsiaTheme="majorEastAsia"/>
          <w:color w:val="000000"/>
          <w:sz w:val="30"/>
          <w:szCs w:val="30"/>
          <w:u w:val="single"/>
        </w:rPr>
        <w:t xml:space="preserve">     </w:t>
      </w:r>
      <w:r>
        <w:rPr>
          <w:rFonts w:asciiTheme="majorEastAsia" w:hAnsiTheme="majorEastAsia" w:eastAsiaTheme="majorEastAsia"/>
          <w:color w:val="000000"/>
          <w:sz w:val="30"/>
          <w:szCs w:val="30"/>
        </w:rPr>
        <w:t>先生/女士。本企业持有预拌混凝土企业资质证书</w:t>
      </w:r>
      <w:r>
        <w:rPr>
          <w:rFonts w:hint="eastAsia" w:asciiTheme="majorEastAsia" w:hAnsiTheme="majorEastAsia" w:eastAsiaTheme="majorEastAsia"/>
          <w:sz w:val="30"/>
          <w:szCs w:val="30"/>
        </w:rPr>
        <w:t>,</w:t>
      </w:r>
      <w:r>
        <w:rPr>
          <w:rFonts w:asciiTheme="majorEastAsia" w:hAnsiTheme="majorEastAsia" w:eastAsiaTheme="majorEastAsia"/>
          <w:color w:val="000000"/>
          <w:sz w:val="30"/>
          <w:szCs w:val="30"/>
        </w:rPr>
        <w:t>是正常生产和合法经营的预拌混凝土生产企业。现根据《</w:t>
      </w:r>
      <w:r>
        <w:rPr>
          <w:rFonts w:hint="eastAsia" w:asciiTheme="majorEastAsia" w:hAnsiTheme="majorEastAsia" w:eastAsiaTheme="majorEastAsia"/>
          <w:color w:val="000000"/>
          <w:sz w:val="30"/>
          <w:szCs w:val="30"/>
        </w:rPr>
        <w:t>泰州市</w:t>
      </w:r>
      <w:r>
        <w:rPr>
          <w:rFonts w:asciiTheme="majorEastAsia" w:hAnsiTheme="majorEastAsia" w:eastAsiaTheme="majorEastAsia"/>
          <w:color w:val="000000"/>
          <w:sz w:val="30"/>
          <w:szCs w:val="30"/>
        </w:rPr>
        <w:t>预拌混凝土企业</w:t>
      </w:r>
      <w:r>
        <w:rPr>
          <w:rFonts w:hint="eastAsia" w:asciiTheme="majorEastAsia" w:hAnsiTheme="majorEastAsia" w:eastAsiaTheme="majorEastAsia"/>
          <w:color w:val="000000"/>
          <w:sz w:val="30"/>
          <w:szCs w:val="30"/>
        </w:rPr>
        <w:t>质量</w:t>
      </w:r>
      <w:r>
        <w:rPr>
          <w:rFonts w:asciiTheme="majorEastAsia" w:hAnsiTheme="majorEastAsia" w:eastAsiaTheme="majorEastAsia"/>
          <w:color w:val="000000"/>
          <w:sz w:val="30"/>
          <w:szCs w:val="30"/>
        </w:rPr>
        <w:t>综合评价</w:t>
      </w:r>
      <w:r>
        <w:rPr>
          <w:rFonts w:hint="eastAsia" w:asciiTheme="majorEastAsia" w:hAnsiTheme="majorEastAsia" w:eastAsiaTheme="majorEastAsia"/>
          <w:color w:val="000000"/>
          <w:sz w:val="30"/>
          <w:szCs w:val="30"/>
        </w:rPr>
        <w:t>暂行办法</w:t>
      </w:r>
      <w:r>
        <w:rPr>
          <w:rFonts w:asciiTheme="majorEastAsia" w:hAnsiTheme="majorEastAsia" w:eastAsiaTheme="majorEastAsia"/>
          <w:color w:val="000000"/>
          <w:sz w:val="30"/>
          <w:szCs w:val="30"/>
        </w:rPr>
        <w:t>》，参加预拌混凝土企业</w:t>
      </w:r>
      <w:r>
        <w:rPr>
          <w:rFonts w:hint="eastAsia" w:asciiTheme="majorEastAsia" w:hAnsiTheme="majorEastAsia" w:eastAsiaTheme="majorEastAsia"/>
          <w:color w:val="000000"/>
          <w:sz w:val="30"/>
          <w:szCs w:val="30"/>
        </w:rPr>
        <w:t>质量</w:t>
      </w:r>
      <w:r>
        <w:rPr>
          <w:rFonts w:asciiTheme="majorEastAsia" w:hAnsiTheme="majorEastAsia" w:eastAsiaTheme="majorEastAsia"/>
          <w:color w:val="000000"/>
          <w:sz w:val="30"/>
          <w:szCs w:val="30"/>
        </w:rPr>
        <w:t>综合评价。本企业承诺所提供的资料均真实、有效。本企业诚实守信、守法经营，如有隐瞒情况或提供虚假材料以及经营管理中发生失信行为，本企业愿意接受建设行政主管部门及其他有关部门依据</w:t>
      </w:r>
      <w:r>
        <w:rPr>
          <w:rFonts w:hint="eastAsia" w:asciiTheme="majorEastAsia" w:hAnsiTheme="majorEastAsia" w:eastAsiaTheme="majorEastAsia"/>
          <w:color w:val="000000"/>
          <w:sz w:val="30"/>
          <w:szCs w:val="30"/>
        </w:rPr>
        <w:t>相</w:t>
      </w:r>
      <w:r>
        <w:rPr>
          <w:rFonts w:asciiTheme="majorEastAsia" w:hAnsiTheme="majorEastAsia" w:eastAsiaTheme="majorEastAsia"/>
          <w:color w:val="000000"/>
          <w:sz w:val="30"/>
          <w:szCs w:val="30"/>
        </w:rPr>
        <w:t>关法律法规给予的处罚。</w:t>
      </w:r>
    </w:p>
    <w:p>
      <w:pPr>
        <w:shd w:val="clear" w:color="auto" w:fill="FFFFFF"/>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联系人/职务：              </w:t>
      </w:r>
    </w:p>
    <w:p>
      <w:pPr>
        <w:shd w:val="clear" w:color="auto" w:fill="FFFFFF"/>
        <w:spacing w:line="600" w:lineRule="exact"/>
        <w:rPr>
          <w:rFonts w:asciiTheme="majorEastAsia" w:hAnsiTheme="majorEastAsia" w:eastAsiaTheme="majorEastAsia"/>
          <w:color w:val="000000"/>
          <w:sz w:val="30"/>
          <w:szCs w:val="30"/>
        </w:rPr>
      </w:pPr>
      <w:r>
        <w:rPr>
          <w:rFonts w:asciiTheme="majorEastAsia" w:hAnsiTheme="majorEastAsia" w:eastAsiaTheme="majorEastAsia"/>
          <w:color w:val="000000"/>
          <w:sz w:val="30"/>
          <w:szCs w:val="30"/>
        </w:rPr>
        <w:t>联系电话：   </w:t>
      </w:r>
    </w:p>
    <w:p>
      <w:pPr>
        <w:shd w:val="clear" w:color="auto" w:fill="FFFFFF"/>
        <w:spacing w:line="600" w:lineRule="exact"/>
        <w:rPr>
          <w:rFonts w:asciiTheme="majorEastAsia" w:hAnsiTheme="majorEastAsia" w:eastAsiaTheme="majorEastAsia"/>
          <w:color w:val="000000"/>
          <w:sz w:val="30"/>
          <w:szCs w:val="30"/>
        </w:rPr>
      </w:pPr>
    </w:p>
    <w:p>
      <w:pPr>
        <w:shd w:val="clear" w:color="auto" w:fill="FFFFFF"/>
        <w:spacing w:line="600" w:lineRule="exact"/>
        <w:ind w:firstLine="640"/>
        <w:rPr>
          <w:rFonts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 xml:space="preserve">                   </w:t>
      </w:r>
      <w:r>
        <w:rPr>
          <w:rFonts w:asciiTheme="majorEastAsia" w:hAnsiTheme="majorEastAsia" w:eastAsiaTheme="majorEastAsia"/>
          <w:color w:val="000000"/>
          <w:sz w:val="30"/>
          <w:szCs w:val="30"/>
        </w:rPr>
        <w:t>企 业 名 称（盖章）：</w:t>
      </w:r>
    </w:p>
    <w:p>
      <w:pPr>
        <w:shd w:val="clear" w:color="auto" w:fill="FFFFFF"/>
        <w:spacing w:line="600" w:lineRule="exact"/>
        <w:ind w:firstLine="640"/>
        <w:rPr>
          <w:rFonts w:asciiTheme="majorEastAsia" w:hAnsiTheme="majorEastAsia" w:eastAsiaTheme="majorEastAsia"/>
          <w:color w:val="000000"/>
          <w:sz w:val="30"/>
          <w:szCs w:val="30"/>
        </w:rPr>
      </w:pPr>
    </w:p>
    <w:p>
      <w:pPr>
        <w:shd w:val="clear" w:color="auto" w:fill="FFFFFF"/>
        <w:spacing w:line="600" w:lineRule="exact"/>
        <w:ind w:firstLine="585"/>
        <w:rPr>
          <w:rFonts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 xml:space="preserve">                   </w:t>
      </w:r>
      <w:r>
        <w:rPr>
          <w:rFonts w:asciiTheme="majorEastAsia" w:hAnsiTheme="majorEastAsia" w:eastAsiaTheme="majorEastAsia"/>
          <w:color w:val="000000"/>
          <w:sz w:val="30"/>
          <w:szCs w:val="30"/>
        </w:rPr>
        <w:t>企业法人签名：</w:t>
      </w:r>
    </w:p>
    <w:p>
      <w:pPr>
        <w:shd w:val="clear" w:color="auto" w:fill="FFFFFF"/>
        <w:spacing w:line="600" w:lineRule="exact"/>
        <w:ind w:firstLine="585"/>
        <w:rPr>
          <w:rFonts w:asciiTheme="majorEastAsia" w:hAnsiTheme="majorEastAsia" w:eastAsiaTheme="majorEastAsia"/>
          <w:color w:val="000000"/>
          <w:sz w:val="30"/>
          <w:szCs w:val="30"/>
        </w:rPr>
      </w:pPr>
    </w:p>
    <w:p>
      <w:pPr>
        <w:shd w:val="clear" w:color="auto" w:fill="FFFFFF"/>
        <w:spacing w:line="600" w:lineRule="exact"/>
        <w:rPr>
          <w:rFonts w:asciiTheme="majorEastAsia" w:hAnsiTheme="majorEastAsia" w:eastAsiaTheme="majorEastAsia"/>
          <w:color w:val="000000"/>
          <w:sz w:val="30"/>
          <w:szCs w:val="30"/>
        </w:rPr>
      </w:pPr>
      <w:r>
        <w:rPr>
          <w:rFonts w:hint="eastAsia" w:asciiTheme="majorEastAsia" w:hAnsiTheme="majorEastAsia" w:eastAsiaTheme="majorEastAsia"/>
          <w:color w:val="000000"/>
          <w:sz w:val="30"/>
          <w:szCs w:val="30"/>
        </w:rPr>
        <w:t xml:space="preserve">                       </w:t>
      </w:r>
      <w:r>
        <w:rPr>
          <w:rFonts w:asciiTheme="majorEastAsia" w:hAnsiTheme="majorEastAsia" w:eastAsiaTheme="majorEastAsia"/>
          <w:color w:val="000000"/>
          <w:sz w:val="30"/>
          <w:szCs w:val="30"/>
        </w:rPr>
        <w:t>日期：</w:t>
      </w:r>
      <w:r>
        <w:rPr>
          <w:rFonts w:hint="eastAsia" w:asciiTheme="majorEastAsia" w:hAnsiTheme="majorEastAsia" w:eastAsiaTheme="majorEastAsia"/>
          <w:color w:val="000000"/>
          <w:sz w:val="30"/>
          <w:szCs w:val="30"/>
        </w:rPr>
        <w:t xml:space="preserve">    </w:t>
      </w:r>
      <w:r>
        <w:rPr>
          <w:rFonts w:asciiTheme="majorEastAsia" w:hAnsiTheme="majorEastAsia" w:eastAsiaTheme="majorEastAsia"/>
          <w:color w:val="000000"/>
          <w:sz w:val="30"/>
          <w:szCs w:val="30"/>
        </w:rPr>
        <w:t>  年 </w:t>
      </w:r>
      <w:r>
        <w:rPr>
          <w:rFonts w:hint="eastAsia" w:asciiTheme="majorEastAsia" w:hAnsiTheme="majorEastAsia" w:eastAsiaTheme="majorEastAsia"/>
          <w:color w:val="000000"/>
          <w:sz w:val="30"/>
          <w:szCs w:val="30"/>
        </w:rPr>
        <w:t xml:space="preserve">   </w:t>
      </w:r>
      <w:r>
        <w:rPr>
          <w:rFonts w:asciiTheme="majorEastAsia" w:hAnsiTheme="majorEastAsia" w:eastAsiaTheme="majorEastAsia"/>
          <w:color w:val="000000"/>
          <w:sz w:val="30"/>
          <w:szCs w:val="30"/>
        </w:rPr>
        <w:t> 月</w:t>
      </w:r>
      <w:r>
        <w:rPr>
          <w:rFonts w:hint="eastAsia" w:asciiTheme="majorEastAsia" w:hAnsiTheme="majorEastAsia" w:eastAsiaTheme="majorEastAsia"/>
          <w:color w:val="000000"/>
          <w:sz w:val="30"/>
          <w:szCs w:val="30"/>
        </w:rPr>
        <w:t xml:space="preserve">  </w:t>
      </w:r>
      <w:r>
        <w:rPr>
          <w:rFonts w:asciiTheme="majorEastAsia" w:hAnsiTheme="majorEastAsia" w:eastAsiaTheme="majorEastAsia"/>
          <w:color w:val="000000"/>
          <w:sz w:val="30"/>
          <w:szCs w:val="30"/>
        </w:rPr>
        <w:t> </w:t>
      </w:r>
      <w:r>
        <w:rPr>
          <w:rFonts w:hint="eastAsia" w:asciiTheme="majorEastAsia" w:hAnsiTheme="majorEastAsia" w:eastAsiaTheme="majorEastAsia"/>
          <w:color w:val="000000"/>
          <w:sz w:val="30"/>
          <w:szCs w:val="30"/>
        </w:rPr>
        <w:t xml:space="preserve">  </w:t>
      </w:r>
      <w:r>
        <w:rPr>
          <w:rFonts w:asciiTheme="majorEastAsia" w:hAnsiTheme="majorEastAsia" w:eastAsiaTheme="majorEastAsia"/>
          <w:color w:val="000000"/>
          <w:sz w:val="30"/>
          <w:szCs w:val="30"/>
        </w:rPr>
        <w:t>日</w:t>
      </w:r>
    </w:p>
    <w:p>
      <w:pPr>
        <w:shd w:val="clear" w:color="auto" w:fill="FFFFFF"/>
        <w:spacing w:line="600" w:lineRule="exact"/>
        <w:rPr>
          <w:rFonts w:ascii="Times New Roman" w:eastAsia="仿宋_GB2312"/>
          <w:color w:val="000000"/>
          <w:sz w:val="32"/>
          <w:szCs w:val="32"/>
        </w:rPr>
        <w:sectPr>
          <w:pgSz w:w="11906" w:h="16838"/>
          <w:pgMar w:top="1440" w:right="1800" w:bottom="1440" w:left="1800" w:header="851" w:footer="992" w:gutter="0"/>
          <w:cols w:space="425" w:num="1"/>
          <w:docGrid w:type="lines" w:linePitch="312" w:charSpace="0"/>
        </w:sectPr>
      </w:pPr>
      <w:r>
        <w:rPr>
          <w:rFonts w:ascii="Times New Roman" w:eastAsia="仿宋_GB2312"/>
          <w:color w:val="000000"/>
          <w:sz w:val="32"/>
          <w:szCs w:val="32"/>
        </w:rPr>
        <w:t>                        </w:t>
      </w:r>
    </w:p>
    <w:p>
      <w:pPr>
        <w:shd w:val="clear" w:color="auto" w:fill="FFFFFF"/>
        <w:spacing w:line="600" w:lineRule="exact"/>
        <w:rPr>
          <w:rFonts w:ascii="Times New Roman" w:eastAsia="仿宋_GB2312"/>
          <w:color w:val="000000"/>
          <w:sz w:val="32"/>
          <w:szCs w:val="32"/>
        </w:rPr>
      </w:pPr>
      <w:r>
        <w:rPr>
          <w:rFonts w:hint="eastAsia" w:ascii="黑体" w:eastAsia="黑体"/>
          <w:bCs/>
          <w:color w:val="000000"/>
          <w:sz w:val="32"/>
          <w:szCs w:val="32"/>
        </w:rPr>
        <w:t>附件2</w:t>
      </w:r>
    </w:p>
    <w:tbl>
      <w:tblPr>
        <w:tblStyle w:val="4"/>
        <w:tblW w:w="141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660"/>
        <w:gridCol w:w="1060"/>
        <w:gridCol w:w="1960"/>
        <w:gridCol w:w="1060"/>
        <w:gridCol w:w="4180"/>
        <w:gridCol w:w="2360"/>
        <w:gridCol w:w="78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320" w:type="dxa"/>
            <w:tcBorders>
              <w:top w:val="nil"/>
              <w:left w:val="nil"/>
              <w:right w:val="nil"/>
            </w:tcBorders>
            <w:shd w:val="clear" w:color="auto" w:fill="auto"/>
            <w:vAlign w:val="center"/>
          </w:tcPr>
          <w:p>
            <w:pPr>
              <w:shd w:val="clear" w:color="auto" w:fill="FFFFFF"/>
              <w:spacing w:line="600" w:lineRule="exact"/>
              <w:ind w:right="44"/>
              <w:rPr>
                <w:rFonts w:ascii="黑体" w:eastAsia="黑体"/>
                <w:bCs/>
                <w:color w:val="000000"/>
                <w:sz w:val="32"/>
                <w:szCs w:val="32"/>
              </w:rPr>
            </w:pPr>
          </w:p>
        </w:tc>
        <w:tc>
          <w:tcPr>
            <w:tcW w:w="12820" w:type="dxa"/>
            <w:gridSpan w:val="8"/>
            <w:tcBorders>
              <w:top w:val="nil"/>
              <w:left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泰州市预拌混凝土企业质量综合评价评分表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分类</w:t>
            </w:r>
          </w:p>
        </w:tc>
        <w:tc>
          <w:tcPr>
            <w:tcW w:w="6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评分项</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评价项目</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评价</w:t>
            </w:r>
          </w:p>
          <w:p>
            <w:pPr>
              <w:widowControl/>
              <w:jc w:val="center"/>
              <w:rPr>
                <w:rFonts w:ascii="宋体" w:hAnsi="宋体" w:eastAsia="宋体" w:cs="宋体"/>
                <w:kern w:val="0"/>
                <w:sz w:val="22"/>
              </w:rPr>
            </w:pPr>
            <w:r>
              <w:rPr>
                <w:rFonts w:hint="eastAsia" w:ascii="宋体" w:hAnsi="宋体" w:eastAsia="宋体" w:cs="宋体"/>
                <w:kern w:val="0"/>
                <w:sz w:val="22"/>
              </w:rPr>
              <w:t>分值</w:t>
            </w:r>
          </w:p>
        </w:tc>
        <w:tc>
          <w:tcPr>
            <w:tcW w:w="41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评分细则</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检查方法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实得分</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说明项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320" w:type="dxa"/>
            <w:vMerge w:val="restart"/>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一、综合管理水平(20)</w:t>
            </w:r>
          </w:p>
        </w:tc>
        <w:tc>
          <w:tcPr>
            <w:tcW w:w="6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企业组织架构</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资质</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企业资质证书在有效期内得1分，否则不得分。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检查企业资质证书</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vAlign w:val="center"/>
          </w:tcPr>
          <w:p>
            <w:pPr>
              <w:widowControl/>
              <w:jc w:val="left"/>
              <w:rPr>
                <w:rFonts w:ascii="宋体" w:hAnsi="宋体" w:eastAsia="宋体" w:cs="宋体"/>
                <w:kern w:val="0"/>
                <w:sz w:val="22"/>
              </w:rPr>
            </w:pPr>
          </w:p>
        </w:tc>
        <w:tc>
          <w:tcPr>
            <w:tcW w:w="1060" w:type="dxa"/>
            <w:vMerge w:val="continue"/>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营业执照</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营业执照的经营范围至少包含混凝土生产、销售得1分，否则不得分。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检查企业营业执照</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vAlign w:val="center"/>
          </w:tcPr>
          <w:p>
            <w:pPr>
              <w:widowControl/>
              <w:jc w:val="left"/>
              <w:rPr>
                <w:rFonts w:ascii="宋体" w:hAnsi="宋体" w:eastAsia="宋体" w:cs="宋体"/>
                <w:kern w:val="0"/>
                <w:sz w:val="22"/>
              </w:rPr>
            </w:pPr>
          </w:p>
        </w:tc>
        <w:tc>
          <w:tcPr>
            <w:tcW w:w="1060" w:type="dxa"/>
            <w:vMerge w:val="continue"/>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组织架构</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组织架构中至少包含质量管理、安全管理、人员管理、材料管理等部门得1分，否则不得分。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检查企业组织架构</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企业标准化管理</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体系认证</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具有ISO9001管理体系认证得2分，否则不得分。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检查企业ISO9001质量管理体系认证证书</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vAlign w:val="center"/>
          </w:tcPr>
          <w:p>
            <w:pPr>
              <w:widowControl/>
              <w:jc w:val="left"/>
              <w:rPr>
                <w:rFonts w:ascii="宋体" w:hAnsi="宋体" w:eastAsia="宋体" w:cs="宋体"/>
                <w:kern w:val="0"/>
                <w:sz w:val="22"/>
              </w:rPr>
            </w:pPr>
          </w:p>
        </w:tc>
        <w:tc>
          <w:tcPr>
            <w:tcW w:w="1060" w:type="dxa"/>
            <w:vMerge w:val="continue"/>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管理制度</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企业管理制度健全，至少包含质量管理制度、安全管理制度、人员管理制度、原材料管理制度、混凝土强度等跟踪处理制度得2分 ，缺一项制度扣0.5分，扣完为止。</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检查企业提供的管理制度文件，并现场核实</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分类</w:t>
            </w:r>
          </w:p>
        </w:tc>
        <w:tc>
          <w:tcPr>
            <w:tcW w:w="6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评分项</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评价项目</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评价</w:t>
            </w:r>
          </w:p>
          <w:p>
            <w:pPr>
              <w:widowControl/>
              <w:jc w:val="center"/>
              <w:rPr>
                <w:rFonts w:ascii="宋体" w:hAnsi="宋体" w:eastAsia="宋体" w:cs="宋体"/>
                <w:kern w:val="0"/>
                <w:sz w:val="22"/>
              </w:rPr>
            </w:pPr>
            <w:r>
              <w:rPr>
                <w:rFonts w:hint="eastAsia" w:ascii="宋体" w:hAnsi="宋体" w:eastAsia="宋体" w:cs="宋体"/>
                <w:kern w:val="0"/>
                <w:sz w:val="22"/>
              </w:rPr>
              <w:t>分值</w:t>
            </w:r>
          </w:p>
        </w:tc>
        <w:tc>
          <w:tcPr>
            <w:tcW w:w="41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评分细则</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检查方法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实得分</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说明项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1" w:hRule="atLeast"/>
        </w:trPr>
        <w:tc>
          <w:tcPr>
            <w:tcW w:w="1320" w:type="dxa"/>
            <w:vMerge w:val="restart"/>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6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企业信息化管理</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视频监控</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视频监控齐全得3分，视频监控系统区域包含每座搅拌楼出料口、水泥成型室、力学检测室、混凝土成型室、砂石检测室、标养室温湿度自动控制装置、称重设备，能通过电脑、手机等设备实时查看且画面清晰，缺一处扣0.5分，扣完为止。</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现场查看和远程调阅</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监管平台</w:t>
            </w:r>
          </w:p>
        </w:tc>
        <w:tc>
          <w:tcPr>
            <w:tcW w:w="106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4180" w:type="dxa"/>
            <w:shd w:val="clear" w:color="000000" w:fill="FFFFFF"/>
            <w:vAlign w:val="center"/>
          </w:tcPr>
          <w:p>
            <w:pPr>
              <w:widowControl/>
              <w:jc w:val="left"/>
              <w:rPr>
                <w:rFonts w:ascii="宋体" w:hAnsi="宋体" w:eastAsia="宋体" w:cs="宋体"/>
                <w:kern w:val="0"/>
                <w:sz w:val="22"/>
              </w:rPr>
            </w:pPr>
            <w:r>
              <w:rPr>
                <w:rFonts w:hint="eastAsia" w:ascii="宋体" w:hAnsi="宋体" w:eastAsia="宋体" w:cs="宋体"/>
                <w:kern w:val="0"/>
                <w:sz w:val="22"/>
              </w:rPr>
              <w:t>接入“泰州市预拌混凝土质量智慧监管平台”且在合同管理、原材料检测结果、配合比信息、治超管理四个模块中正常上报数据得6分，缺一个模块的数据扣1.5分，扣完为止。</w:t>
            </w:r>
          </w:p>
        </w:tc>
        <w:tc>
          <w:tcPr>
            <w:tcW w:w="2360" w:type="dxa"/>
            <w:shd w:val="clear" w:color="000000" w:fill="FFFFFF"/>
            <w:vAlign w:val="center"/>
          </w:tcPr>
          <w:p>
            <w:pPr>
              <w:widowControl/>
              <w:jc w:val="center"/>
              <w:rPr>
                <w:rFonts w:ascii="宋体" w:hAnsi="宋体" w:eastAsia="宋体" w:cs="宋体"/>
                <w:kern w:val="0"/>
                <w:sz w:val="22"/>
              </w:rPr>
            </w:pPr>
            <w:r>
              <w:rPr>
                <w:rFonts w:hint="eastAsia" w:ascii="宋体" w:hAnsi="宋体" w:eastAsia="宋体" w:cs="宋体"/>
                <w:kern w:val="0"/>
                <w:sz w:val="22"/>
              </w:rPr>
              <w:t>检查企业的监管平台接口</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人员配备</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职称</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有高级工程师职称1人得1分、有工程师职称1人得0.5分，最高不超过2分。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检查合同、社保证明、职称证书等资料</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vAlign w:val="center"/>
          </w:tcPr>
          <w:p>
            <w:pPr>
              <w:widowControl/>
              <w:jc w:val="left"/>
              <w:rPr>
                <w:rFonts w:ascii="宋体" w:hAnsi="宋体" w:eastAsia="宋体" w:cs="宋体"/>
                <w:kern w:val="0"/>
                <w:sz w:val="22"/>
              </w:rPr>
            </w:pPr>
          </w:p>
        </w:tc>
        <w:tc>
          <w:tcPr>
            <w:tcW w:w="1060" w:type="dxa"/>
            <w:vMerge w:val="continue"/>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持证上岗人数</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技术人员持证上岗人数，1人得0.5分，最高不超过2分。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检查专项职业能力培训证书</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20" w:type="dxa"/>
            <w:vMerge w:val="restart"/>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二、生产安全管理(10)</w:t>
            </w:r>
          </w:p>
        </w:tc>
        <w:tc>
          <w:tcPr>
            <w:tcW w:w="660" w:type="dxa"/>
            <w:vMerge w:val="restart"/>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1</w:t>
            </w:r>
          </w:p>
        </w:tc>
        <w:tc>
          <w:tcPr>
            <w:tcW w:w="1060" w:type="dxa"/>
            <w:vMerge w:val="restart"/>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安全管理体系</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安全应急预案</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具有完善的安全应急预案得1分，否则不得分。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检查企业的安全应急预案</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20" w:type="dxa"/>
            <w:vMerge w:val="continue"/>
            <w:shd w:val="clear" w:color="auto" w:fill="auto"/>
            <w:vAlign w:val="center"/>
          </w:tcPr>
          <w:p>
            <w:pPr>
              <w:jc w:val="center"/>
              <w:rPr>
                <w:rFonts w:ascii="宋体" w:hAnsi="宋体" w:eastAsia="宋体" w:cs="宋体"/>
                <w:kern w:val="0"/>
                <w:sz w:val="22"/>
              </w:rPr>
            </w:pPr>
          </w:p>
        </w:tc>
        <w:tc>
          <w:tcPr>
            <w:tcW w:w="660" w:type="dxa"/>
            <w:vMerge w:val="continue"/>
            <w:shd w:val="clear" w:color="auto" w:fill="auto"/>
            <w:vAlign w:val="center"/>
          </w:tcPr>
          <w:p>
            <w:pPr>
              <w:widowControl/>
              <w:jc w:val="center"/>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安全操作规程</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机械设备、特种设备、危险品、用电、用火等制定了安全操作规程得1分，否则不得分。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检查企业的安全操作规程</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3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分类</w:t>
            </w:r>
          </w:p>
        </w:tc>
        <w:tc>
          <w:tcPr>
            <w:tcW w:w="6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评分项</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评价项目</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评价</w:t>
            </w:r>
          </w:p>
          <w:p>
            <w:pPr>
              <w:widowControl/>
              <w:jc w:val="center"/>
              <w:rPr>
                <w:rFonts w:ascii="宋体" w:hAnsi="宋体" w:eastAsia="宋体" w:cs="宋体"/>
                <w:kern w:val="0"/>
                <w:sz w:val="22"/>
              </w:rPr>
            </w:pPr>
            <w:r>
              <w:rPr>
                <w:rFonts w:hint="eastAsia" w:ascii="宋体" w:hAnsi="宋体" w:eastAsia="宋体" w:cs="宋体"/>
                <w:kern w:val="0"/>
                <w:sz w:val="22"/>
              </w:rPr>
              <w:t>分值</w:t>
            </w:r>
          </w:p>
        </w:tc>
        <w:tc>
          <w:tcPr>
            <w:tcW w:w="41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评分细则</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检查方法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实得分</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说明项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320" w:type="dxa"/>
            <w:vMerge w:val="restart"/>
            <w:shd w:val="clear" w:color="auto" w:fill="auto"/>
            <w:vAlign w:val="center"/>
          </w:tcPr>
          <w:p>
            <w:pPr>
              <w:jc w:val="center"/>
              <w:rPr>
                <w:rFonts w:ascii="宋体" w:hAnsi="宋体" w:eastAsia="宋体" w:cs="宋体"/>
                <w:kern w:val="0"/>
                <w:sz w:val="22"/>
              </w:rPr>
            </w:pPr>
          </w:p>
        </w:tc>
        <w:tc>
          <w:tcPr>
            <w:tcW w:w="6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防护设备设施及劳保</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安全设施设备</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配置防火、防触电、防高空坠落等安全设施设备得1分，否则不得分。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检查企业的安全设施设备</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6" w:hRule="atLeast"/>
        </w:trPr>
        <w:tc>
          <w:tcPr>
            <w:tcW w:w="1320" w:type="dxa"/>
            <w:vMerge w:val="continue"/>
            <w:shd w:val="clear" w:color="auto" w:fill="auto"/>
            <w:vAlign w:val="center"/>
          </w:tcPr>
          <w:p>
            <w:pPr>
              <w:jc w:val="center"/>
              <w:rPr>
                <w:rFonts w:ascii="宋体" w:hAnsi="宋体" w:eastAsia="宋体" w:cs="宋体"/>
                <w:kern w:val="0"/>
                <w:sz w:val="22"/>
              </w:rPr>
            </w:pPr>
          </w:p>
        </w:tc>
        <w:tc>
          <w:tcPr>
            <w:tcW w:w="660" w:type="dxa"/>
            <w:vMerge w:val="continue"/>
            <w:shd w:val="clear" w:color="auto" w:fill="auto"/>
            <w:vAlign w:val="center"/>
          </w:tcPr>
          <w:p>
            <w:pPr>
              <w:jc w:val="center"/>
              <w:rPr>
                <w:rFonts w:ascii="宋体" w:hAnsi="宋体" w:eastAsia="宋体" w:cs="宋体"/>
                <w:kern w:val="0"/>
                <w:sz w:val="22"/>
              </w:rPr>
            </w:pPr>
          </w:p>
        </w:tc>
        <w:tc>
          <w:tcPr>
            <w:tcW w:w="1060" w:type="dxa"/>
            <w:vMerge w:val="continue"/>
            <w:shd w:val="clear" w:color="auto" w:fill="auto"/>
            <w:vAlign w:val="center"/>
          </w:tcPr>
          <w:p>
            <w:pPr>
              <w:jc w:val="center"/>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机械设备检验及维护保养</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定期对机械设备进行安全检验和维护保养得1分，否则不得分。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检查机械设备安全检验及维护保养记录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20" w:type="dxa"/>
            <w:vMerge w:val="continue"/>
            <w:shd w:val="clear" w:color="auto" w:fill="auto"/>
            <w:vAlign w:val="center"/>
          </w:tcPr>
          <w:p>
            <w:pPr>
              <w:jc w:val="center"/>
              <w:rPr>
                <w:rFonts w:ascii="宋体" w:hAnsi="宋体" w:eastAsia="宋体" w:cs="宋体"/>
                <w:kern w:val="0"/>
                <w:sz w:val="22"/>
              </w:rPr>
            </w:pPr>
          </w:p>
        </w:tc>
        <w:tc>
          <w:tcPr>
            <w:tcW w:w="660" w:type="dxa"/>
            <w:vMerge w:val="continue"/>
            <w:shd w:val="clear" w:color="auto" w:fill="auto"/>
            <w:vAlign w:val="center"/>
          </w:tcPr>
          <w:p>
            <w:pPr>
              <w:jc w:val="center"/>
              <w:rPr>
                <w:rFonts w:ascii="宋体" w:hAnsi="宋体" w:eastAsia="宋体" w:cs="宋体"/>
                <w:kern w:val="0"/>
                <w:sz w:val="22"/>
              </w:rPr>
            </w:pPr>
          </w:p>
        </w:tc>
        <w:tc>
          <w:tcPr>
            <w:tcW w:w="1060" w:type="dxa"/>
            <w:vMerge w:val="continue"/>
            <w:shd w:val="clear" w:color="auto" w:fill="auto"/>
            <w:vAlign w:val="center"/>
          </w:tcPr>
          <w:p>
            <w:pPr>
              <w:jc w:val="center"/>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危险品</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危险品的存储和使用设施满足安全规范得1分，否则不得分。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检查危险品的存储和使用设施</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320" w:type="dxa"/>
            <w:vMerge w:val="continue"/>
            <w:shd w:val="clear" w:color="auto" w:fill="auto"/>
          </w:tcPr>
          <w:p>
            <w:pPr>
              <w:widowControl/>
              <w:jc w:val="center"/>
              <w:rPr>
                <w:rFonts w:ascii="宋体" w:hAnsi="宋体" w:eastAsia="宋体" w:cs="宋体"/>
                <w:kern w:val="0"/>
                <w:sz w:val="22"/>
              </w:rPr>
            </w:pPr>
          </w:p>
        </w:tc>
        <w:tc>
          <w:tcPr>
            <w:tcW w:w="660" w:type="dxa"/>
            <w:vMerge w:val="continue"/>
            <w:shd w:val="clear" w:color="auto" w:fill="auto"/>
            <w:vAlign w:val="center"/>
          </w:tcPr>
          <w:p>
            <w:pPr>
              <w:widowControl/>
              <w:jc w:val="center"/>
              <w:rPr>
                <w:rFonts w:ascii="宋体" w:hAnsi="宋体" w:eastAsia="宋体" w:cs="宋体"/>
                <w:kern w:val="0"/>
                <w:sz w:val="22"/>
              </w:rPr>
            </w:pPr>
          </w:p>
        </w:tc>
        <w:tc>
          <w:tcPr>
            <w:tcW w:w="1060" w:type="dxa"/>
            <w:vMerge w:val="continue"/>
            <w:shd w:val="clear" w:color="auto" w:fill="auto"/>
            <w:vAlign w:val="center"/>
          </w:tcPr>
          <w:p>
            <w:pPr>
              <w:widowControl/>
              <w:jc w:val="center"/>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用电安全</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设备设施的用电安全得1分，否则不得分。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现场检查企业的设备设施的用电安全</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劳保装备及用品</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人员劳保装备配置齐全、劳保用品使用正确规范得1分，否则不得分。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检查人员劳保装备配置和劳保用品使用情况</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安全教育</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安全培训</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按照计划要求定期定岗安全培训得1分，否则不得分。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查看安全培训计划、培训记录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vAlign w:val="center"/>
          </w:tcPr>
          <w:p>
            <w:pPr>
              <w:widowControl/>
              <w:jc w:val="left"/>
              <w:rPr>
                <w:rFonts w:ascii="宋体" w:hAnsi="宋体" w:eastAsia="宋体" w:cs="宋体"/>
                <w:kern w:val="0"/>
                <w:sz w:val="22"/>
              </w:rPr>
            </w:pPr>
          </w:p>
        </w:tc>
        <w:tc>
          <w:tcPr>
            <w:tcW w:w="1060" w:type="dxa"/>
            <w:vMerge w:val="continue"/>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安全标识</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安全标识齐全1分，否则不得分。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查看安全标识</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vAlign w:val="center"/>
          </w:tcPr>
          <w:p>
            <w:pPr>
              <w:widowControl/>
              <w:jc w:val="left"/>
              <w:rPr>
                <w:rFonts w:ascii="宋体" w:hAnsi="宋体" w:eastAsia="宋体" w:cs="宋体"/>
                <w:kern w:val="0"/>
                <w:sz w:val="22"/>
              </w:rPr>
            </w:pPr>
          </w:p>
        </w:tc>
        <w:tc>
          <w:tcPr>
            <w:tcW w:w="1060" w:type="dxa"/>
            <w:vMerge w:val="continue"/>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消防演练</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定期消防演练得1分，否则不得分。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查看消防演练的记录、图片</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320" w:type="dxa"/>
            <w:vMerge w:val="restart"/>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三、生产质量管理(55)</w:t>
            </w:r>
          </w:p>
        </w:tc>
        <w:tc>
          <w:tcPr>
            <w:tcW w:w="6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原材料质量</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采购合同（协议）</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仿宋_GB2312" w:hAnsi="宋体" w:eastAsia="仿宋_GB2312" w:cs="宋体"/>
                <w:kern w:val="0"/>
                <w:sz w:val="22"/>
              </w:rPr>
            </w:pPr>
            <w:r>
              <w:rPr>
                <w:rFonts w:hint="eastAsia" w:ascii="宋体" w:hAnsi="宋体" w:eastAsia="宋体" w:cs="宋体"/>
                <w:kern w:val="0"/>
                <w:sz w:val="22"/>
              </w:rPr>
              <w:t>采购合同（协议）以书面形式签订并存档得1分，否则不得分。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检查原材料合同及台账</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使用台帐</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建立混凝土原材料使用台帐、有进场验收记录、质量可追溯得2分，否则不得分。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检查原材料进场验收记录及原材料质量证明文件</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分类</w:t>
            </w:r>
          </w:p>
        </w:tc>
        <w:tc>
          <w:tcPr>
            <w:tcW w:w="6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评分项</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评价项目</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评价</w:t>
            </w:r>
          </w:p>
          <w:p>
            <w:pPr>
              <w:widowControl/>
              <w:jc w:val="center"/>
              <w:rPr>
                <w:rFonts w:ascii="宋体" w:hAnsi="宋体" w:eastAsia="宋体" w:cs="宋体"/>
                <w:kern w:val="0"/>
                <w:sz w:val="22"/>
              </w:rPr>
            </w:pPr>
            <w:r>
              <w:rPr>
                <w:rFonts w:hint="eastAsia" w:ascii="宋体" w:hAnsi="宋体" w:eastAsia="宋体" w:cs="宋体"/>
                <w:kern w:val="0"/>
                <w:sz w:val="22"/>
              </w:rPr>
              <w:t>分值</w:t>
            </w:r>
          </w:p>
        </w:tc>
        <w:tc>
          <w:tcPr>
            <w:tcW w:w="41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评分细则</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检查方法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实得分</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说明项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320" w:type="dxa"/>
            <w:vMerge w:val="restart"/>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　</w:t>
            </w:r>
          </w:p>
        </w:tc>
        <w:tc>
          <w:tcPr>
            <w:tcW w:w="660" w:type="dxa"/>
            <w:vMerge w:val="restart"/>
            <w:shd w:val="clear" w:color="auto" w:fill="auto"/>
            <w:vAlign w:val="center"/>
          </w:tcPr>
          <w:p>
            <w:pPr>
              <w:widowControl/>
              <w:jc w:val="left"/>
              <w:rPr>
                <w:rFonts w:ascii="宋体" w:hAnsi="宋体" w:eastAsia="宋体" w:cs="宋体"/>
                <w:kern w:val="0"/>
                <w:sz w:val="22"/>
              </w:rPr>
            </w:pPr>
          </w:p>
        </w:tc>
        <w:tc>
          <w:tcPr>
            <w:tcW w:w="1060" w:type="dxa"/>
            <w:vMerge w:val="restart"/>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进场检验</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对进场的原材料依据相关技术标准的要求进行质量检验，并建立逐一对应的检测试验台账，原材料试验及台账对应齐全得2分，否则不得分。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检查原材料检验台账，根据原材料进货量核对试验批次</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20" w:type="dxa"/>
            <w:vMerge w:val="continue"/>
            <w:shd w:val="clear" w:color="auto" w:fill="auto"/>
            <w:vAlign w:val="center"/>
          </w:tcPr>
          <w:p>
            <w:pPr>
              <w:jc w:val="center"/>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动态监管</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监督抽检原材料，检测结果不合格不得分。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“双随机”抽取原材料送第三方检测机构</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20" w:type="dxa"/>
            <w:vMerge w:val="continue"/>
            <w:shd w:val="clear" w:color="auto" w:fill="auto"/>
          </w:tcPr>
          <w:p>
            <w:pPr>
              <w:widowControl/>
              <w:jc w:val="center"/>
              <w:rPr>
                <w:rFonts w:ascii="宋体" w:hAnsi="宋体" w:eastAsia="宋体" w:cs="宋体"/>
                <w:kern w:val="0"/>
                <w:sz w:val="22"/>
              </w:rPr>
            </w:pPr>
          </w:p>
        </w:tc>
        <w:tc>
          <w:tcPr>
            <w:tcW w:w="6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试验管理</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技术标准</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技术标准齐全、有效得1分、否则不得分。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检查技术标准</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试验场所面积</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各试验室的面积能满足生产能力要求得1分，否则不得分。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检查试验场所</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仪器设备配备</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仪器设备配备能满足生产能力要求得1分，否则不得分。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检查仪器设备的配备</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仪器设备校准或检定</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仪器设备定期校准或检定得2分，缺一台设备扣0.5分，扣完为止。</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对照仪器设备台账检查校准或检定证书</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环境条件</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试验场所的温湿度条件符合国家现行有关标准的要求得1分，否则不得分。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检查有环境要求场所的监控设备及环境状况记录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试验操作</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严格按试验标准操作的得2分，否则不得分。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现场考核试验操作</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3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分类</w:t>
            </w:r>
          </w:p>
        </w:tc>
        <w:tc>
          <w:tcPr>
            <w:tcW w:w="6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评分项</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评价项目</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评价</w:t>
            </w:r>
          </w:p>
          <w:p>
            <w:pPr>
              <w:widowControl/>
              <w:jc w:val="center"/>
              <w:rPr>
                <w:rFonts w:ascii="宋体" w:hAnsi="宋体" w:eastAsia="宋体" w:cs="宋体"/>
                <w:kern w:val="0"/>
                <w:sz w:val="22"/>
              </w:rPr>
            </w:pPr>
            <w:r>
              <w:rPr>
                <w:rFonts w:hint="eastAsia" w:ascii="宋体" w:hAnsi="宋体" w:eastAsia="宋体" w:cs="宋体"/>
                <w:kern w:val="0"/>
                <w:sz w:val="22"/>
              </w:rPr>
              <w:t>分值</w:t>
            </w:r>
          </w:p>
        </w:tc>
        <w:tc>
          <w:tcPr>
            <w:tcW w:w="41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评分细则</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检查方法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实得分</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说明项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320" w:type="dxa"/>
            <w:vMerge w:val="restart"/>
            <w:shd w:val="clear" w:color="auto" w:fill="auto"/>
            <w:vAlign w:val="center"/>
          </w:tcPr>
          <w:p>
            <w:pPr>
              <w:jc w:val="center"/>
              <w:rPr>
                <w:rFonts w:ascii="宋体" w:hAnsi="宋体" w:eastAsia="宋体" w:cs="宋体"/>
                <w:kern w:val="0"/>
                <w:sz w:val="22"/>
              </w:rPr>
            </w:pPr>
            <w:r>
              <w:rPr>
                <w:rFonts w:hint="eastAsia" w:ascii="宋体" w:hAnsi="宋体" w:eastAsia="宋体" w:cs="宋体"/>
                <w:kern w:val="0"/>
                <w:sz w:val="22"/>
              </w:rPr>
              <w:t>　</w:t>
            </w:r>
          </w:p>
        </w:tc>
        <w:tc>
          <w:tcPr>
            <w:tcW w:w="660" w:type="dxa"/>
            <w:vMerge w:val="restart"/>
            <w:shd w:val="clear" w:color="auto" w:fill="auto"/>
            <w:vAlign w:val="center"/>
          </w:tcPr>
          <w:p>
            <w:pPr>
              <w:widowControl/>
              <w:jc w:val="left"/>
              <w:rPr>
                <w:rFonts w:ascii="宋体" w:hAnsi="宋体" w:eastAsia="宋体" w:cs="宋体"/>
                <w:kern w:val="0"/>
                <w:sz w:val="22"/>
              </w:rPr>
            </w:pPr>
          </w:p>
        </w:tc>
        <w:tc>
          <w:tcPr>
            <w:tcW w:w="1060" w:type="dxa"/>
            <w:vMerge w:val="restart"/>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原始记录</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试验原始记录采用固定格式，在检测操作过程中及时真实记录，信息量足够可追溯试验过程，字迹清晰无涂改得2分，否则不得分。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检查所有试验项目近期连续10个编号的原始记录。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20" w:type="dxa"/>
            <w:vMerge w:val="continue"/>
            <w:shd w:val="clear" w:color="auto" w:fill="auto"/>
            <w:vAlign w:val="center"/>
          </w:tcPr>
          <w:p>
            <w:pPr>
              <w:jc w:val="center"/>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试验报告</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能及时出具试验报告且包含主要原始数据、计算参数、判断标准、试验结论得2分，否则不得分。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对照原始记录检查试验报告</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320" w:type="dxa"/>
            <w:vMerge w:val="continue"/>
            <w:shd w:val="clear" w:color="auto" w:fill="auto"/>
            <w:vAlign w:val="center"/>
          </w:tcPr>
          <w:p>
            <w:pPr>
              <w:jc w:val="center"/>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试样标识</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试件的唯一性标识按照取样时间顺序连续编号，无空号、重号得1分，否则不得分；混凝土试样表面清晰刻制试样制作日期、强度等级、样品编号等信息的得1分，否则不得分。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检查原材料及混凝土试样的标识</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20" w:type="dxa"/>
            <w:vMerge w:val="continue"/>
            <w:shd w:val="clear" w:color="auto" w:fill="auto"/>
            <w:vAlign w:val="center"/>
          </w:tcPr>
          <w:p>
            <w:pPr>
              <w:jc w:val="center"/>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强度分析</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按照规范要求定期对混凝土强度进行数理统计分析得1分，否则不得分。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检查混凝土强度数理统计分析记录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320" w:type="dxa"/>
            <w:vMerge w:val="continue"/>
            <w:shd w:val="clear" w:color="auto" w:fill="auto"/>
          </w:tcPr>
          <w:p>
            <w:pPr>
              <w:widowControl/>
              <w:jc w:val="center"/>
              <w:rPr>
                <w:rFonts w:ascii="宋体" w:hAnsi="宋体" w:eastAsia="宋体" w:cs="宋体"/>
                <w:kern w:val="0"/>
                <w:sz w:val="22"/>
              </w:rPr>
            </w:pPr>
          </w:p>
        </w:tc>
        <w:tc>
          <w:tcPr>
            <w:tcW w:w="6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配合比设计</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配制强度及性能</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混凝土配合比设计应满足混凝土配制强度及其他力学性能、拌合物性能、长期性能和耐久性能的设计要求得2分，否则不得分。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检查试配记录、计算书，配合比审批（确认）单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原材料性能</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原材料性能指标符合标准规定得1分，否则不得分。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检查原材料检测记录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3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分类</w:t>
            </w:r>
          </w:p>
        </w:tc>
        <w:tc>
          <w:tcPr>
            <w:tcW w:w="6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评分项</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评价项目</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评价</w:t>
            </w:r>
          </w:p>
          <w:p>
            <w:pPr>
              <w:widowControl/>
              <w:jc w:val="center"/>
              <w:rPr>
                <w:rFonts w:ascii="宋体" w:hAnsi="宋体" w:eastAsia="宋体" w:cs="宋体"/>
                <w:kern w:val="0"/>
                <w:sz w:val="22"/>
              </w:rPr>
            </w:pPr>
            <w:r>
              <w:rPr>
                <w:rFonts w:hint="eastAsia" w:ascii="宋体" w:hAnsi="宋体" w:eastAsia="宋体" w:cs="宋体"/>
                <w:kern w:val="0"/>
                <w:sz w:val="22"/>
              </w:rPr>
              <w:t>分值</w:t>
            </w:r>
          </w:p>
        </w:tc>
        <w:tc>
          <w:tcPr>
            <w:tcW w:w="41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评分细则</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检查方法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实得分</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说明项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2" w:hRule="atLeast"/>
        </w:trPr>
        <w:tc>
          <w:tcPr>
            <w:tcW w:w="1320" w:type="dxa"/>
            <w:vMerge w:val="restart"/>
            <w:shd w:val="clear" w:color="auto" w:fill="auto"/>
            <w:vAlign w:val="center"/>
          </w:tcPr>
          <w:p>
            <w:pPr>
              <w:widowControl/>
              <w:jc w:val="left"/>
              <w:rPr>
                <w:rFonts w:ascii="宋体" w:hAnsi="宋体" w:eastAsia="宋体" w:cs="宋体"/>
                <w:kern w:val="0"/>
                <w:sz w:val="22"/>
              </w:rPr>
            </w:pPr>
          </w:p>
        </w:tc>
        <w:tc>
          <w:tcPr>
            <w:tcW w:w="660" w:type="dxa"/>
            <w:vMerge w:val="restart"/>
            <w:shd w:val="clear" w:color="auto" w:fill="auto"/>
            <w:vAlign w:val="center"/>
          </w:tcPr>
          <w:p>
            <w:pPr>
              <w:widowControl/>
              <w:jc w:val="left"/>
              <w:rPr>
                <w:rFonts w:ascii="宋体" w:hAnsi="宋体" w:eastAsia="宋体" w:cs="宋体"/>
                <w:kern w:val="0"/>
                <w:sz w:val="22"/>
              </w:rPr>
            </w:pPr>
          </w:p>
        </w:tc>
        <w:tc>
          <w:tcPr>
            <w:tcW w:w="1060" w:type="dxa"/>
            <w:vMerge w:val="restart"/>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矿物掺合料掺量</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矿物掺合料掺量符合标准规定和掺合料说明书的要求，得1分，否则不得分。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检查试配记录、计算书，配合比审批（确认）单，原材料检测记录，掺合料质保书等</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配合比设计审批</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配合比设计及调整应经技术负责人书面批准得2分，否则不得分。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检查配合比设计和调整使用审批（确认）单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生产管理</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计量设备</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混凝土搅拌系统计量设备的精度符合现行国家标准《混凝土搅拌站（楼）》（GB/T 10171-2016）的有关规定得2分，否则不得分。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对照设备说明书现场核查</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管理台账</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有生产设备管理台账得1分，否则不得分。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检查生产设备管理台账</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设备维护保养</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定期对生产设备进行检查保养并及时填写主要设备使用维护保养记录得2分，否则不得分。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检查生产设备维修保养记录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320" w:type="dxa"/>
            <w:vMerge w:val="continue"/>
            <w:shd w:val="clear" w:color="auto" w:fill="auto"/>
            <w:vAlign w:val="center"/>
          </w:tcPr>
          <w:p>
            <w:pPr>
              <w:rPr>
                <w:rFonts w:ascii="宋体" w:hAnsi="宋体" w:eastAsia="宋体" w:cs="宋体"/>
                <w:kern w:val="0"/>
                <w:sz w:val="22"/>
              </w:rPr>
            </w:pPr>
          </w:p>
        </w:tc>
        <w:tc>
          <w:tcPr>
            <w:tcW w:w="660" w:type="dxa"/>
            <w:vMerge w:val="continue"/>
            <w:shd w:val="clear" w:color="auto" w:fill="auto"/>
            <w:vAlign w:val="center"/>
          </w:tcPr>
          <w:p>
            <w:pPr>
              <w:rPr>
                <w:rFonts w:ascii="宋体" w:hAnsi="宋体" w:eastAsia="宋体" w:cs="宋体"/>
                <w:kern w:val="0"/>
                <w:sz w:val="22"/>
              </w:rPr>
            </w:pPr>
          </w:p>
        </w:tc>
        <w:tc>
          <w:tcPr>
            <w:tcW w:w="1060" w:type="dxa"/>
            <w:vMerge w:val="continue"/>
            <w:shd w:val="clear" w:color="auto" w:fill="auto"/>
            <w:vAlign w:val="center"/>
          </w:tcPr>
          <w:p>
            <w:pPr>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计量设备检定/校准</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定期对计量设备进行检定/校准得2分，否则不得分。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查计量设备的检定/校准证书</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3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分类</w:t>
            </w:r>
          </w:p>
        </w:tc>
        <w:tc>
          <w:tcPr>
            <w:tcW w:w="6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评分项</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评价项目</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评价</w:t>
            </w:r>
          </w:p>
          <w:p>
            <w:pPr>
              <w:widowControl/>
              <w:jc w:val="center"/>
              <w:rPr>
                <w:rFonts w:ascii="宋体" w:hAnsi="宋体" w:eastAsia="宋体" w:cs="宋体"/>
                <w:kern w:val="0"/>
                <w:sz w:val="22"/>
              </w:rPr>
            </w:pPr>
            <w:r>
              <w:rPr>
                <w:rFonts w:hint="eastAsia" w:ascii="宋体" w:hAnsi="宋体" w:eastAsia="宋体" w:cs="宋体"/>
                <w:kern w:val="0"/>
                <w:sz w:val="22"/>
              </w:rPr>
              <w:t>分值</w:t>
            </w:r>
          </w:p>
        </w:tc>
        <w:tc>
          <w:tcPr>
            <w:tcW w:w="41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评分细则</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检查方法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实得分</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说明项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320" w:type="dxa"/>
            <w:vMerge w:val="restart"/>
            <w:shd w:val="clear" w:color="auto" w:fill="auto"/>
            <w:vAlign w:val="center"/>
          </w:tcPr>
          <w:p>
            <w:pPr>
              <w:jc w:val="center"/>
              <w:rPr>
                <w:rFonts w:ascii="宋体" w:hAnsi="宋体" w:eastAsia="宋体" w:cs="宋体"/>
                <w:kern w:val="0"/>
                <w:sz w:val="22"/>
              </w:rPr>
            </w:pPr>
          </w:p>
        </w:tc>
        <w:tc>
          <w:tcPr>
            <w:tcW w:w="660" w:type="dxa"/>
            <w:vMerge w:val="restart"/>
            <w:shd w:val="clear" w:color="auto" w:fill="auto"/>
            <w:vAlign w:val="center"/>
          </w:tcPr>
          <w:p>
            <w:pPr>
              <w:jc w:val="center"/>
              <w:rPr>
                <w:rFonts w:ascii="宋体" w:hAnsi="宋体" w:eastAsia="宋体" w:cs="宋体"/>
                <w:kern w:val="0"/>
                <w:sz w:val="22"/>
              </w:rPr>
            </w:pPr>
          </w:p>
        </w:tc>
        <w:tc>
          <w:tcPr>
            <w:tcW w:w="1060" w:type="dxa"/>
            <w:vMerge w:val="restart"/>
            <w:shd w:val="clear" w:color="auto" w:fill="auto"/>
            <w:vAlign w:val="center"/>
          </w:tcPr>
          <w:p>
            <w:pPr>
              <w:jc w:val="center"/>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配合比一致性</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实际生产的混凝土配合比应与向使用单位出具的混凝土配合比一致，设计配合比、生产配合比、出料口实际配合比一致得3分，否则不得分。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检查生产配合比与设计配合比，进行对比</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320" w:type="dxa"/>
            <w:vMerge w:val="continue"/>
            <w:shd w:val="clear" w:color="auto" w:fill="auto"/>
          </w:tcPr>
          <w:p>
            <w:pPr>
              <w:widowControl/>
              <w:jc w:val="center"/>
              <w:rPr>
                <w:rFonts w:ascii="宋体" w:hAnsi="宋体" w:eastAsia="宋体" w:cs="宋体"/>
                <w:kern w:val="0"/>
                <w:sz w:val="22"/>
              </w:rPr>
            </w:pPr>
          </w:p>
        </w:tc>
        <w:tc>
          <w:tcPr>
            <w:tcW w:w="660" w:type="dxa"/>
            <w:vMerge w:val="continue"/>
            <w:shd w:val="clear" w:color="auto" w:fill="auto"/>
            <w:vAlign w:val="center"/>
          </w:tcPr>
          <w:p>
            <w:pPr>
              <w:widowControl/>
              <w:jc w:val="center"/>
              <w:rPr>
                <w:rFonts w:ascii="宋体" w:hAnsi="宋体" w:eastAsia="宋体" w:cs="宋体"/>
                <w:kern w:val="0"/>
                <w:sz w:val="22"/>
              </w:rPr>
            </w:pPr>
          </w:p>
        </w:tc>
        <w:tc>
          <w:tcPr>
            <w:tcW w:w="1060" w:type="dxa"/>
            <w:vMerge w:val="continue"/>
            <w:shd w:val="clear" w:color="auto" w:fill="auto"/>
            <w:vAlign w:val="center"/>
          </w:tcPr>
          <w:p>
            <w:pPr>
              <w:widowControl/>
              <w:jc w:val="center"/>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计量偏差</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生产中原材料计量偏差符合相关标准要求得2分，否则不得分。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检查当班计量情况并随机抽三份生产记录核查偏差情况</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出厂检验</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出厂检验项目符合国家标准和合同约定要求得1分，否则不得分；混凝土出厂检验的取样频率及试块留置符合标准要求得2分，否则不得分；试块、试件等按年度连续编号得2分，否则不得分；出厂检验台帐符合要求得1分，否则不得分；试块强度异常或达不到规定要求时按照相应制度处理得2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检查试件留置台账、出厂检验台帐、对照混凝土强度报告检查相应的处理制度</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1320" w:type="dxa"/>
            <w:vMerge w:val="continue"/>
            <w:shd w:val="clear" w:color="auto" w:fill="auto"/>
            <w:vAlign w:val="center"/>
          </w:tcPr>
          <w:p>
            <w:pPr>
              <w:widowControl/>
              <w:jc w:val="left"/>
              <w:rPr>
                <w:rFonts w:ascii="宋体" w:hAnsi="宋体" w:eastAsia="宋体" w:cs="宋体"/>
                <w:kern w:val="0"/>
                <w:sz w:val="22"/>
              </w:rPr>
            </w:pPr>
          </w:p>
        </w:tc>
        <w:tc>
          <w:tcPr>
            <w:tcW w:w="660" w:type="dxa"/>
            <w:vMerge w:val="continue"/>
            <w:shd w:val="clear" w:color="auto" w:fill="auto"/>
            <w:vAlign w:val="center"/>
          </w:tcPr>
          <w:p>
            <w:pPr>
              <w:widowControl/>
              <w:jc w:val="left"/>
              <w:rPr>
                <w:rFonts w:ascii="宋体" w:hAnsi="宋体" w:eastAsia="宋体" w:cs="宋体"/>
                <w:kern w:val="0"/>
                <w:sz w:val="22"/>
              </w:rPr>
            </w:pPr>
          </w:p>
        </w:tc>
        <w:tc>
          <w:tcPr>
            <w:tcW w:w="1060" w:type="dxa"/>
            <w:vMerge w:val="continue"/>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运输单</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运送混凝土时应随车签发预拌混凝土运输单，运输单载明车辆号牌、车辆道路运输证号、轴型、货物品种、车货总重、起运地、托运单位、送达地、收货单位等信息得2分，缺一项扣0.5分，扣完为止。</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对照生产记录检查相应的运输单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trPr>
        <w:tc>
          <w:tcPr>
            <w:tcW w:w="132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分类</w:t>
            </w:r>
          </w:p>
        </w:tc>
        <w:tc>
          <w:tcPr>
            <w:tcW w:w="6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评分项</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评价项目</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评价</w:t>
            </w:r>
          </w:p>
          <w:p>
            <w:pPr>
              <w:widowControl/>
              <w:jc w:val="center"/>
              <w:rPr>
                <w:rFonts w:ascii="宋体" w:hAnsi="宋体" w:eastAsia="宋体" w:cs="宋体"/>
                <w:kern w:val="0"/>
                <w:sz w:val="22"/>
              </w:rPr>
            </w:pPr>
            <w:r>
              <w:rPr>
                <w:rFonts w:hint="eastAsia" w:ascii="宋体" w:hAnsi="宋体" w:eastAsia="宋体" w:cs="宋体"/>
                <w:kern w:val="0"/>
                <w:sz w:val="22"/>
              </w:rPr>
              <w:t>分值</w:t>
            </w:r>
          </w:p>
        </w:tc>
        <w:tc>
          <w:tcPr>
            <w:tcW w:w="41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评分细则</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检查方法</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实得分</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说明项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1320" w:type="dxa"/>
            <w:shd w:val="clear" w:color="auto" w:fill="auto"/>
            <w:vAlign w:val="center"/>
          </w:tcPr>
          <w:p>
            <w:pPr>
              <w:widowControl/>
              <w:jc w:val="left"/>
              <w:rPr>
                <w:rFonts w:ascii="宋体" w:hAnsi="宋体" w:eastAsia="宋体" w:cs="宋体"/>
                <w:kern w:val="0"/>
                <w:sz w:val="22"/>
              </w:rPr>
            </w:pPr>
          </w:p>
        </w:tc>
        <w:tc>
          <w:tcPr>
            <w:tcW w:w="660" w:type="dxa"/>
            <w:shd w:val="clear" w:color="auto" w:fill="auto"/>
            <w:vAlign w:val="center"/>
          </w:tcPr>
          <w:p>
            <w:pPr>
              <w:widowControl/>
              <w:jc w:val="left"/>
              <w:rPr>
                <w:rFonts w:ascii="宋体" w:hAnsi="宋体" w:eastAsia="宋体" w:cs="宋体"/>
                <w:kern w:val="0"/>
                <w:sz w:val="22"/>
              </w:rPr>
            </w:pPr>
          </w:p>
        </w:tc>
        <w:tc>
          <w:tcPr>
            <w:tcW w:w="1060" w:type="dxa"/>
            <w:shd w:val="clear" w:color="auto" w:fill="auto"/>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合格证</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及时出具混凝土合格证（证明材料）得2分，否则不得分。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检查混凝土合格证,按照《关于进一步加强钢筋、电线电缆、建筑用砂等建筑材料质量管理的通知》（泰建发【2018】74号）执行</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20" w:type="dxa"/>
            <w:vMerge w:val="restart"/>
            <w:shd w:val="clear" w:color="auto" w:fill="auto"/>
          </w:tcPr>
          <w:p>
            <w:pPr>
              <w:widowControl/>
              <w:jc w:val="center"/>
              <w:rPr>
                <w:rFonts w:ascii="宋体" w:hAnsi="宋体" w:eastAsia="宋体" w:cs="宋体"/>
                <w:kern w:val="0"/>
                <w:sz w:val="22"/>
              </w:rPr>
            </w:pPr>
            <w:r>
              <w:rPr>
                <w:rFonts w:hint="eastAsia" w:ascii="宋体" w:hAnsi="宋体" w:eastAsia="宋体" w:cs="宋体"/>
                <w:kern w:val="0"/>
                <w:sz w:val="22"/>
              </w:rPr>
              <w:t>四、现场质量控制(15)</w:t>
            </w:r>
          </w:p>
        </w:tc>
        <w:tc>
          <w:tcPr>
            <w:tcW w:w="6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60" w:type="dxa"/>
            <w:vMerge w:val="restart"/>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混凝土实体强度</w:t>
            </w: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监督抽测</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监督抽测混凝土质量满足要求得10分，每次不合格扣1分，扣完为止。</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统计监督抽测机构的检查结果</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320" w:type="dxa"/>
            <w:vMerge w:val="continue"/>
            <w:vAlign w:val="center"/>
          </w:tcPr>
          <w:p>
            <w:pPr>
              <w:widowControl/>
              <w:jc w:val="left"/>
              <w:rPr>
                <w:rFonts w:ascii="宋体" w:hAnsi="宋体" w:eastAsia="宋体" w:cs="宋体"/>
                <w:kern w:val="0"/>
                <w:sz w:val="22"/>
              </w:rPr>
            </w:pPr>
          </w:p>
        </w:tc>
        <w:tc>
          <w:tcPr>
            <w:tcW w:w="660" w:type="dxa"/>
            <w:vMerge w:val="continue"/>
            <w:vAlign w:val="center"/>
          </w:tcPr>
          <w:p>
            <w:pPr>
              <w:widowControl/>
              <w:jc w:val="left"/>
              <w:rPr>
                <w:rFonts w:ascii="宋体" w:hAnsi="宋体" w:eastAsia="宋体" w:cs="宋体"/>
                <w:kern w:val="0"/>
                <w:sz w:val="22"/>
              </w:rPr>
            </w:pPr>
          </w:p>
        </w:tc>
        <w:tc>
          <w:tcPr>
            <w:tcW w:w="1060" w:type="dxa"/>
            <w:vMerge w:val="continue"/>
            <w:vAlign w:val="center"/>
          </w:tcPr>
          <w:p>
            <w:pPr>
              <w:widowControl/>
              <w:jc w:val="left"/>
              <w:rPr>
                <w:rFonts w:ascii="宋体" w:hAnsi="宋体" w:eastAsia="宋体" w:cs="宋体"/>
                <w:kern w:val="0"/>
                <w:sz w:val="22"/>
              </w:rPr>
            </w:pPr>
          </w:p>
        </w:tc>
        <w:tc>
          <w:tcPr>
            <w:tcW w:w="19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监管部门抽测</w:t>
            </w:r>
          </w:p>
        </w:tc>
        <w:tc>
          <w:tcPr>
            <w:tcW w:w="10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4180" w:type="dxa"/>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抽测混凝土质量满足要求得5分，否则不得分。</w:t>
            </w:r>
          </w:p>
        </w:tc>
        <w:tc>
          <w:tcPr>
            <w:tcW w:w="23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查看监管部门检查通报</w:t>
            </w:r>
          </w:p>
        </w:tc>
        <w:tc>
          <w:tcPr>
            <w:tcW w:w="78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760"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600" w:type="dxa"/>
            <w:gridSpan w:val="7"/>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总得分</w:t>
            </w:r>
          </w:p>
        </w:tc>
        <w:tc>
          <w:tcPr>
            <w:tcW w:w="1540" w:type="dxa"/>
            <w:gridSpan w:val="2"/>
            <w:shd w:val="clear" w:color="auto" w:fill="auto"/>
            <w:noWrap/>
            <w:vAlign w:val="bottom"/>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bl>
    <w:p>
      <w:pPr>
        <w:shd w:val="clear" w:color="auto" w:fill="FFFFFF"/>
        <w:spacing w:line="600" w:lineRule="exact"/>
        <w:rPr>
          <w:rFonts w:ascii="Times New Roman" w:eastAsia="仿宋_GB2312"/>
          <w:color w:val="000000"/>
          <w:sz w:val="32"/>
          <w:szCs w:val="32"/>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仿宋_GBK">
    <w:panose1 w:val="03000509000000000000"/>
    <w:charset w:val="86"/>
    <w:family w:val="auto"/>
    <w:pitch w:val="fixed"/>
    <w:sig w:usb0="00000001" w:usb1="080E0000" w:usb2="00000000" w:usb3="00000000" w:csb0="00040000" w:csb1="00000000"/>
  </w:font>
  <w:font w:name="@方正仿宋_GBK">
    <w:panose1 w:val="03000509000000000000"/>
    <w:charset w:val="86"/>
    <w:family w:val="auto"/>
    <w:pitch w:val="fixed"/>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101C9"/>
    <w:multiLevelType w:val="multilevel"/>
    <w:tmpl w:val="3D0101C9"/>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A8"/>
    <w:rsid w:val="00016D28"/>
    <w:rsid w:val="000232CA"/>
    <w:rsid w:val="00027A35"/>
    <w:rsid w:val="00033AE3"/>
    <w:rsid w:val="00082653"/>
    <w:rsid w:val="00082A6F"/>
    <w:rsid w:val="000947FB"/>
    <w:rsid w:val="000A5F8E"/>
    <w:rsid w:val="000C07D6"/>
    <w:rsid w:val="000D2AC5"/>
    <w:rsid w:val="000E638D"/>
    <w:rsid w:val="000F01C7"/>
    <w:rsid w:val="00100B9D"/>
    <w:rsid w:val="00103B7E"/>
    <w:rsid w:val="00107ACD"/>
    <w:rsid w:val="00107E83"/>
    <w:rsid w:val="001124B8"/>
    <w:rsid w:val="00116BBD"/>
    <w:rsid w:val="001251FF"/>
    <w:rsid w:val="0012781B"/>
    <w:rsid w:val="001333E3"/>
    <w:rsid w:val="001342F9"/>
    <w:rsid w:val="00147FB2"/>
    <w:rsid w:val="0015513F"/>
    <w:rsid w:val="00164444"/>
    <w:rsid w:val="00186F96"/>
    <w:rsid w:val="00197206"/>
    <w:rsid w:val="001A619B"/>
    <w:rsid w:val="001B12D3"/>
    <w:rsid w:val="001C5FC2"/>
    <w:rsid w:val="001E5318"/>
    <w:rsid w:val="00217316"/>
    <w:rsid w:val="00224856"/>
    <w:rsid w:val="002321C6"/>
    <w:rsid w:val="00234CC9"/>
    <w:rsid w:val="00240D97"/>
    <w:rsid w:val="0024623C"/>
    <w:rsid w:val="00247728"/>
    <w:rsid w:val="002509C3"/>
    <w:rsid w:val="00275CF1"/>
    <w:rsid w:val="0028523F"/>
    <w:rsid w:val="002862EF"/>
    <w:rsid w:val="00292A8E"/>
    <w:rsid w:val="002A4E64"/>
    <w:rsid w:val="002B3F52"/>
    <w:rsid w:val="002C72C3"/>
    <w:rsid w:val="002D6478"/>
    <w:rsid w:val="00301C50"/>
    <w:rsid w:val="003067E4"/>
    <w:rsid w:val="003156B2"/>
    <w:rsid w:val="00331F0A"/>
    <w:rsid w:val="00340B5E"/>
    <w:rsid w:val="00360F21"/>
    <w:rsid w:val="00377CFE"/>
    <w:rsid w:val="00381784"/>
    <w:rsid w:val="00384CC7"/>
    <w:rsid w:val="00385E9E"/>
    <w:rsid w:val="00390D55"/>
    <w:rsid w:val="003B0C7E"/>
    <w:rsid w:val="003B7765"/>
    <w:rsid w:val="003C1F68"/>
    <w:rsid w:val="003D4352"/>
    <w:rsid w:val="003E398A"/>
    <w:rsid w:val="00402C69"/>
    <w:rsid w:val="00402C72"/>
    <w:rsid w:val="0041164E"/>
    <w:rsid w:val="00453972"/>
    <w:rsid w:val="00461350"/>
    <w:rsid w:val="00466191"/>
    <w:rsid w:val="0046793C"/>
    <w:rsid w:val="00471267"/>
    <w:rsid w:val="0048623A"/>
    <w:rsid w:val="00494F8D"/>
    <w:rsid w:val="004B5B2E"/>
    <w:rsid w:val="004D100D"/>
    <w:rsid w:val="004D1666"/>
    <w:rsid w:val="004D5DF3"/>
    <w:rsid w:val="004D610A"/>
    <w:rsid w:val="004E7C9A"/>
    <w:rsid w:val="004F2FBC"/>
    <w:rsid w:val="005002C2"/>
    <w:rsid w:val="00502945"/>
    <w:rsid w:val="005170A1"/>
    <w:rsid w:val="00530E45"/>
    <w:rsid w:val="00551744"/>
    <w:rsid w:val="0055496F"/>
    <w:rsid w:val="00583900"/>
    <w:rsid w:val="005A27A5"/>
    <w:rsid w:val="005B130E"/>
    <w:rsid w:val="005E1ABF"/>
    <w:rsid w:val="005E53EC"/>
    <w:rsid w:val="005F62F9"/>
    <w:rsid w:val="005F72BE"/>
    <w:rsid w:val="00600441"/>
    <w:rsid w:val="00601460"/>
    <w:rsid w:val="006138F8"/>
    <w:rsid w:val="00616A09"/>
    <w:rsid w:val="00617D35"/>
    <w:rsid w:val="00622FC7"/>
    <w:rsid w:val="00627D0B"/>
    <w:rsid w:val="00631588"/>
    <w:rsid w:val="00657B37"/>
    <w:rsid w:val="00663DA4"/>
    <w:rsid w:val="0069238F"/>
    <w:rsid w:val="006D1D1A"/>
    <w:rsid w:val="006D4DAB"/>
    <w:rsid w:val="006E7AD1"/>
    <w:rsid w:val="007124CE"/>
    <w:rsid w:val="007251AC"/>
    <w:rsid w:val="00735D20"/>
    <w:rsid w:val="0075423C"/>
    <w:rsid w:val="00760562"/>
    <w:rsid w:val="007A5100"/>
    <w:rsid w:val="007A69BA"/>
    <w:rsid w:val="007C45EB"/>
    <w:rsid w:val="007E4CDF"/>
    <w:rsid w:val="007E5A48"/>
    <w:rsid w:val="00821FC1"/>
    <w:rsid w:val="0082738F"/>
    <w:rsid w:val="0087620E"/>
    <w:rsid w:val="008B16AA"/>
    <w:rsid w:val="008B4532"/>
    <w:rsid w:val="008D0C50"/>
    <w:rsid w:val="008E1E9C"/>
    <w:rsid w:val="00902C6A"/>
    <w:rsid w:val="009333CB"/>
    <w:rsid w:val="0093365E"/>
    <w:rsid w:val="00934352"/>
    <w:rsid w:val="00944706"/>
    <w:rsid w:val="00951C02"/>
    <w:rsid w:val="009C1273"/>
    <w:rsid w:val="009D54C8"/>
    <w:rsid w:val="009D5C8D"/>
    <w:rsid w:val="009F12AF"/>
    <w:rsid w:val="00A022A9"/>
    <w:rsid w:val="00A528B2"/>
    <w:rsid w:val="00A616C8"/>
    <w:rsid w:val="00A82340"/>
    <w:rsid w:val="00AC27A1"/>
    <w:rsid w:val="00AF0E83"/>
    <w:rsid w:val="00B00298"/>
    <w:rsid w:val="00B2127D"/>
    <w:rsid w:val="00B41A08"/>
    <w:rsid w:val="00B606AB"/>
    <w:rsid w:val="00B80E1B"/>
    <w:rsid w:val="00BB16B8"/>
    <w:rsid w:val="00BC1FA1"/>
    <w:rsid w:val="00BC4AC4"/>
    <w:rsid w:val="00BE2429"/>
    <w:rsid w:val="00BF3292"/>
    <w:rsid w:val="00BF5978"/>
    <w:rsid w:val="00C37EE7"/>
    <w:rsid w:val="00C43EB2"/>
    <w:rsid w:val="00C7718A"/>
    <w:rsid w:val="00CA17D5"/>
    <w:rsid w:val="00CA477D"/>
    <w:rsid w:val="00CB45B4"/>
    <w:rsid w:val="00CC3ABB"/>
    <w:rsid w:val="00D05F4F"/>
    <w:rsid w:val="00D17975"/>
    <w:rsid w:val="00D27885"/>
    <w:rsid w:val="00D334E6"/>
    <w:rsid w:val="00D33B28"/>
    <w:rsid w:val="00D3569C"/>
    <w:rsid w:val="00D63608"/>
    <w:rsid w:val="00D64428"/>
    <w:rsid w:val="00D93F41"/>
    <w:rsid w:val="00DA670C"/>
    <w:rsid w:val="00DA75A3"/>
    <w:rsid w:val="00DC7534"/>
    <w:rsid w:val="00DD5EA8"/>
    <w:rsid w:val="00DE0713"/>
    <w:rsid w:val="00DE6DC4"/>
    <w:rsid w:val="00DE726C"/>
    <w:rsid w:val="00DF7558"/>
    <w:rsid w:val="00E032A1"/>
    <w:rsid w:val="00E16C72"/>
    <w:rsid w:val="00E206AC"/>
    <w:rsid w:val="00E23CA0"/>
    <w:rsid w:val="00E44B60"/>
    <w:rsid w:val="00E537DC"/>
    <w:rsid w:val="00E54358"/>
    <w:rsid w:val="00E554EC"/>
    <w:rsid w:val="00E57DA0"/>
    <w:rsid w:val="00E875C6"/>
    <w:rsid w:val="00EB429B"/>
    <w:rsid w:val="00EB5B64"/>
    <w:rsid w:val="00EC1D77"/>
    <w:rsid w:val="00EF3BBA"/>
    <w:rsid w:val="00EF7FF4"/>
    <w:rsid w:val="00F022AC"/>
    <w:rsid w:val="00F15856"/>
    <w:rsid w:val="00F4360A"/>
    <w:rsid w:val="00F57821"/>
    <w:rsid w:val="00F90AC5"/>
    <w:rsid w:val="00FA1485"/>
    <w:rsid w:val="00FC04D0"/>
    <w:rsid w:val="00FC12D7"/>
    <w:rsid w:val="00FC4A90"/>
    <w:rsid w:val="27791DE5"/>
    <w:rsid w:val="3A664CCF"/>
    <w:rsid w:val="3F461633"/>
    <w:rsid w:val="614A5A64"/>
    <w:rsid w:val="67EE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12</Pages>
  <Words>849</Words>
  <Characters>4843</Characters>
  <Lines>40</Lines>
  <Paragraphs>11</Paragraphs>
  <TotalTime>12</TotalTime>
  <ScaleCrop>false</ScaleCrop>
  <LinksUpToDate>false</LinksUpToDate>
  <CharactersWithSpaces>5681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2021-02-22T07:43:00Z</dcterms:created>
  <dc:creator>微软用户</dc:creator>
  <cp:lastModifiedBy>Administrator</cp:lastModifiedBy>
  <dcterms:modified xsi:type="dcterms:W3CDTF">2021-05-18T08:33:29Z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6B89362B87C6420C8E10D85FE4A86689</vt:lpwstr>
  </property>
</Properties>
</file>