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37B" w:rsidRPr="00770091" w:rsidRDefault="00770091" w:rsidP="00770091">
      <w:pPr>
        <w:spacing w:beforeLines="100" w:before="312" w:afterLines="100" w:after="312" w:line="480" w:lineRule="auto"/>
        <w:jc w:val="center"/>
        <w:rPr>
          <w:rFonts w:ascii="宋体" w:eastAsia="宋体" w:hAnsi="宋体"/>
          <w:b/>
          <w:sz w:val="32"/>
          <w:szCs w:val="32"/>
        </w:rPr>
      </w:pPr>
      <w:r w:rsidRPr="00770091">
        <w:rPr>
          <w:rFonts w:ascii="宋体" w:eastAsia="宋体" w:hAnsi="宋体" w:hint="eastAsia"/>
          <w:b/>
          <w:sz w:val="32"/>
          <w:szCs w:val="32"/>
        </w:rPr>
        <w:t>上溪独立、双拼农房方案设计说明</w:t>
      </w:r>
    </w:p>
    <w:p w:rsidR="00770091" w:rsidRDefault="00770091" w:rsidP="00770091">
      <w:pPr>
        <w:spacing w:line="360" w:lineRule="auto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方案创意及</w:t>
      </w:r>
      <w:r w:rsidRPr="00770091">
        <w:rPr>
          <w:rFonts w:ascii="宋体" w:eastAsia="宋体" w:hAnsi="宋体" w:hint="eastAsia"/>
          <w:b/>
          <w:sz w:val="28"/>
          <w:szCs w:val="28"/>
        </w:rPr>
        <w:t>设计理念：</w:t>
      </w:r>
    </w:p>
    <w:p w:rsidR="00770091" w:rsidRDefault="006D7BF2" w:rsidP="00770091">
      <w:pPr>
        <w:spacing w:line="360" w:lineRule="auto"/>
        <w:ind w:firstLineChars="200" w:firstLine="42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0.1pt;margin-top:130.05pt;width:276.55pt;height:184.35pt;z-index:-251657216;mso-position-horizontal-relative:text;mso-position-vertical-relative:text;mso-width-relative:page;mso-height-relative:page" wrapcoords="-39 0 -39 21541 21600 21541 21600 0 -39 0">
            <v:imagedata r:id="rId6" o:title="DSC_6002(1)"/>
            <w10:wrap type="tight"/>
          </v:shape>
        </w:pict>
      </w:r>
      <w:r w:rsidR="00770091">
        <w:rPr>
          <w:rFonts w:ascii="宋体" w:eastAsia="宋体" w:hAnsi="宋体" w:hint="eastAsia"/>
          <w:sz w:val="24"/>
          <w:szCs w:val="24"/>
        </w:rPr>
        <w:t>本方案选址泰州华港镇上溪村，包括独立农房和双拼农房两种形式。近年来，随着地方经济的不断发展，人民生活水平不断提高，对于建筑的需求，也逐渐从实用性的追求，更多地转向舒适性的追求</w:t>
      </w:r>
      <w:r w:rsidR="00590693">
        <w:rPr>
          <w:rFonts w:ascii="宋体" w:eastAsia="宋体" w:hAnsi="宋体" w:hint="eastAsia"/>
          <w:sz w:val="24"/>
          <w:szCs w:val="24"/>
        </w:rPr>
        <w:t>，顺应国家大力发展农村经济的时代要求，各地方对于农村住宅的要求也逐年提高，相对于只能满足基本生活需求的传统农村自建房，</w:t>
      </w:r>
      <w:r w:rsidR="00956D5E">
        <w:rPr>
          <w:rFonts w:ascii="宋体" w:eastAsia="宋体" w:hAnsi="宋体" w:hint="eastAsia"/>
          <w:sz w:val="24"/>
          <w:szCs w:val="24"/>
        </w:rPr>
        <w:t>统筹规划的新型农村住宅区不仅能满足当地人民的物质需求，也可以很大程度消除自建、加建、扩建等行为带来的安全隐患，做到统一建设、统一管理，更能通过建筑形式达到对当地文化的一种表达，从而满足当代人民日益高涨的文化需求。</w:t>
      </w:r>
    </w:p>
    <w:p w:rsidR="00956D5E" w:rsidRDefault="006D7BF2" w:rsidP="00770091">
      <w:pPr>
        <w:spacing w:line="360" w:lineRule="auto"/>
        <w:ind w:firstLineChars="200" w:firstLine="42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0;margin-top:51.25pt;width:303.4pt;height:202.25pt;z-index:-251655168;mso-position-horizontal-relative:text;mso-position-vertical-relative:text;mso-width-relative:page;mso-height-relative:page" wrapcoords="-39 0 -39 21541 21600 21541 21600 0 -39 0">
            <v:imagedata r:id="rId7" o:title="DSC_6013(1)"/>
            <w10:wrap type="tight"/>
          </v:shape>
        </w:pict>
      </w:r>
      <w:r w:rsidR="00956D5E">
        <w:rPr>
          <w:rFonts w:ascii="宋体" w:eastAsia="宋体" w:hAnsi="宋体" w:hint="eastAsia"/>
          <w:sz w:val="24"/>
          <w:szCs w:val="24"/>
        </w:rPr>
        <w:t>上溪村位于里下河地区，传统的里下河地区农房拥有“围墙天井、独立院落、白墙黛瓦、前院后宅”的建筑特色，在本次方案的设计中，</w:t>
      </w:r>
      <w:r w:rsidR="00CD2648">
        <w:rPr>
          <w:rFonts w:ascii="宋体" w:eastAsia="宋体" w:hAnsi="宋体" w:hint="eastAsia"/>
          <w:sz w:val="24"/>
          <w:szCs w:val="24"/>
        </w:rPr>
        <w:t>充分保留这些整体特色的同时，更加注重于建筑细部的描述。</w:t>
      </w:r>
      <w:r w:rsidR="000F2F45">
        <w:rPr>
          <w:rFonts w:ascii="宋体" w:eastAsia="宋体" w:hAnsi="宋体" w:hint="eastAsia"/>
          <w:sz w:val="24"/>
          <w:szCs w:val="24"/>
        </w:rPr>
        <w:t>无论是独立住宅还是双拼住宅，都会由院墙将内外空间进行分隔，</w:t>
      </w:r>
      <w:r w:rsidR="004C4DA8">
        <w:rPr>
          <w:rFonts w:ascii="宋体" w:eastAsia="宋体" w:hAnsi="宋体" w:hint="eastAsia"/>
          <w:sz w:val="24"/>
          <w:szCs w:val="24"/>
        </w:rPr>
        <w:t>前院后宅，</w:t>
      </w:r>
      <w:r w:rsidR="000F2F45">
        <w:rPr>
          <w:rFonts w:ascii="宋体" w:eastAsia="宋体" w:hAnsi="宋体" w:hint="eastAsia"/>
          <w:sz w:val="24"/>
          <w:szCs w:val="24"/>
        </w:rPr>
        <w:t>同时，在院墙上采用传统镂空花窗作为</w:t>
      </w:r>
      <w:r w:rsidR="000F2F45">
        <w:rPr>
          <w:rFonts w:ascii="宋体" w:eastAsia="宋体" w:hAnsi="宋体" w:hint="eastAsia"/>
          <w:sz w:val="24"/>
          <w:szCs w:val="24"/>
        </w:rPr>
        <w:lastRenderedPageBreak/>
        <w:t>装饰，增加内为空间的沟通与交流。建筑统一采用传统的两坡</w:t>
      </w:r>
      <w:r w:rsidR="006305B5">
        <w:rPr>
          <w:rFonts w:ascii="宋体" w:eastAsia="宋体" w:hAnsi="宋体" w:hint="eastAsia"/>
          <w:sz w:val="24"/>
          <w:szCs w:val="24"/>
        </w:rPr>
        <w:t>硬山顶，采用当地独有的屋脊风格，极具地方特色。</w:t>
      </w:r>
    </w:p>
    <w:p w:rsidR="00AD55AF" w:rsidRDefault="006D7BF2" w:rsidP="005A1FF0">
      <w:pPr>
        <w:spacing w:line="360" w:lineRule="auto"/>
        <w:ind w:firstLineChars="200" w:firstLine="42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pict>
          <v:shape id="_x0000_s1033" type="#_x0000_t75" style="position:absolute;left:0;text-align:left;margin-left:220.5pt;margin-top:372.5pt;width:174.75pt;height:260.65pt;z-index:-251648000;mso-position-horizontal-relative:text;mso-position-vertical-relative:text;mso-width-relative:page;mso-height-relative:page" wrapcoords="-91 0 -91 21539 21600 21539 21600 0 -91 0">
            <v:imagedata r:id="rId8" o:title="DSC_6010(1)"/>
            <w10:wrap type="tight"/>
          </v:shape>
        </w:pict>
      </w:r>
      <w:r w:rsidR="001D0B23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44C72C1" wp14:editId="23DB27A3">
            <wp:simplePos x="0" y="0"/>
            <wp:positionH relativeFrom="column">
              <wp:posOffset>19050</wp:posOffset>
            </wp:positionH>
            <wp:positionV relativeFrom="paragraph">
              <wp:posOffset>2396490</wp:posOffset>
            </wp:positionV>
            <wp:extent cx="2606040" cy="1733550"/>
            <wp:effectExtent l="0" t="0" r="3810" b="0"/>
            <wp:wrapTight wrapText="bothSides">
              <wp:wrapPolygon edited="0">
                <wp:start x="0" y="0"/>
                <wp:lineTo x="0" y="21363"/>
                <wp:lineTo x="21474" y="21363"/>
                <wp:lineTo x="21474" y="0"/>
                <wp:lineTo x="0" y="0"/>
              </wp:wrapPolygon>
            </wp:wrapTight>
            <wp:docPr id="1" name="图片 1" descr="C:\Users\yy108\AppData\Local\Microsoft\Windows\INetCache\Content.Word\微信图片_2022071915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y108\AppData\Local\Microsoft\Windows\INetCache\Content.Word\微信图片_20220719154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32" type="#_x0000_t75" style="position:absolute;left:0;text-align:left;margin-left:195pt;margin-top:7.2pt;width:210.75pt;height:118.5pt;z-index:-251650048;mso-position-horizontal-relative:text;mso-position-vertical-relative:text;mso-width-relative:page;mso-height-relative:page" wrapcoords="-39 0 -39 21531 21600 21531 21600 0 -39 0">
            <v:imagedata r:id="rId10" o:title="微信图片_20220719154550"/>
            <w10:wrap type="tight"/>
          </v:shape>
        </w:pict>
      </w:r>
      <w:r w:rsidR="00AD55AF">
        <w:rPr>
          <w:rFonts w:ascii="宋体" w:eastAsia="宋体" w:hAnsi="宋体" w:hint="eastAsia"/>
          <w:sz w:val="24"/>
          <w:szCs w:val="24"/>
        </w:rPr>
        <w:t>作为泰州水乡文化的招牌之一，垛田，无疑是一道能够吸引无数人的绝美风景线。它是由当地先民在湖荡沼泽地带开挖河泥堆积而成</w:t>
      </w:r>
      <w:r w:rsidR="005A1FF0">
        <w:rPr>
          <w:rFonts w:ascii="宋体" w:eastAsia="宋体" w:hAnsi="宋体" w:hint="eastAsia"/>
          <w:sz w:val="24"/>
          <w:szCs w:val="24"/>
        </w:rPr>
        <w:t>，状如小岛，物产丰饶，景色旖旎，是当地特有的一种农业文化遗产。每到春天，金色的油菜花于垛田之上盛放，放眼望去，满眼都是一望无际的金色海洋，泛舟于美丽的垛田之间，感受着随风而来的醉人花香，感叹当地先人无穷尽的智慧，将荒草丛生的沼泽之地开垦为一片片富饶的良田，富足了当地百姓，也造就了一片这世上绝无仅有的风景。</w:t>
      </w:r>
      <w:r w:rsidR="000F2F45">
        <w:rPr>
          <w:rFonts w:ascii="宋体" w:eastAsia="宋体" w:hAnsi="宋体" w:hint="eastAsia"/>
          <w:sz w:val="24"/>
          <w:szCs w:val="24"/>
        </w:rPr>
        <w:t>在</w:t>
      </w:r>
      <w:r w:rsidR="005A1FF0">
        <w:rPr>
          <w:rFonts w:ascii="宋体" w:eastAsia="宋体" w:hAnsi="宋体" w:hint="eastAsia"/>
          <w:sz w:val="24"/>
          <w:szCs w:val="24"/>
        </w:rPr>
        <w:t>片</w:t>
      </w:r>
      <w:r w:rsidR="000F2F45">
        <w:rPr>
          <w:rFonts w:ascii="宋体" w:eastAsia="宋体" w:hAnsi="宋体" w:hint="eastAsia"/>
          <w:sz w:val="24"/>
          <w:szCs w:val="24"/>
        </w:rPr>
        <w:t>土地之上，自然</w:t>
      </w:r>
      <w:r w:rsidR="005A1FF0">
        <w:rPr>
          <w:rFonts w:ascii="宋体" w:eastAsia="宋体" w:hAnsi="宋体" w:hint="eastAsia"/>
          <w:sz w:val="24"/>
          <w:szCs w:val="24"/>
        </w:rPr>
        <w:t>而然</w:t>
      </w:r>
      <w:r w:rsidR="000F2F45">
        <w:rPr>
          <w:rFonts w:ascii="宋体" w:eastAsia="宋体" w:hAnsi="宋体" w:hint="eastAsia"/>
          <w:sz w:val="24"/>
          <w:szCs w:val="24"/>
        </w:rPr>
        <w:t>形成了一种鱼米水乡独有的建筑特色——码头。</w:t>
      </w:r>
      <w:r w:rsidR="005A1FF0">
        <w:rPr>
          <w:rFonts w:ascii="宋体" w:eastAsia="宋体" w:hAnsi="宋体" w:hint="eastAsia"/>
          <w:sz w:val="24"/>
          <w:szCs w:val="24"/>
        </w:rPr>
        <w:t>如此</w:t>
      </w:r>
      <w:r w:rsidR="006305B5">
        <w:rPr>
          <w:rFonts w:ascii="宋体" w:eastAsia="宋体" w:hAnsi="宋体" w:hint="eastAsia"/>
          <w:sz w:val="24"/>
          <w:szCs w:val="24"/>
        </w:rPr>
        <w:t>环境中的生活与水是密不可分的，本方案充分利用了这一特点，在河水沿岸布置了数量相当的码头、游船与景观亭，更贴近水乡文化的需求。</w:t>
      </w:r>
    </w:p>
    <w:p w:rsidR="005A1FF0" w:rsidRDefault="005A1FF0" w:rsidP="005A1FF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这样的乡村，不仅是</w:t>
      </w:r>
      <w:r w:rsidR="001D0B23">
        <w:rPr>
          <w:rFonts w:ascii="宋体" w:eastAsia="宋体" w:hAnsi="宋体" w:hint="eastAsia"/>
          <w:sz w:val="24"/>
          <w:szCs w:val="24"/>
        </w:rPr>
        <w:t>当地文化的象征，也是无数泰州人深深刻在脑海中挥之不去的回忆。一方水土</w:t>
      </w:r>
      <w:r w:rsidR="001D0B23">
        <w:rPr>
          <w:rFonts w:ascii="宋体" w:eastAsia="宋体" w:hAnsi="宋体"/>
          <w:sz w:val="24"/>
          <w:szCs w:val="24"/>
        </w:rPr>
        <w:t>养一方人，</w:t>
      </w:r>
      <w:r w:rsidR="001D0B23">
        <w:rPr>
          <w:rFonts w:ascii="宋体" w:eastAsia="宋体" w:hAnsi="宋体" w:hint="eastAsia"/>
          <w:sz w:val="24"/>
          <w:szCs w:val="24"/>
        </w:rPr>
        <w:t>祖祖辈辈流传下来的文化成就了如今的泰州，大力推进现代化的同时，也不能</w:t>
      </w:r>
      <w:r w:rsidR="00C0175B">
        <w:rPr>
          <w:rFonts w:ascii="宋体" w:eastAsia="宋体" w:hAnsi="宋体" w:hint="eastAsia"/>
          <w:sz w:val="24"/>
          <w:szCs w:val="24"/>
        </w:rPr>
        <w:t>忘记对当地乡土文化的保护，实现“不变的乡愁”与“美好的生活”的有机统一。</w:t>
      </w:r>
    </w:p>
    <w:p w:rsidR="00C0175B" w:rsidRDefault="00C0175B" w:rsidP="005A1FF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故乡是每一个人的根本，越来越多的游子背井离乡，只身一人闯入钢筋水泥的城市之中，为了更加美好的将来而</w:t>
      </w:r>
      <w:r>
        <w:rPr>
          <w:rFonts w:ascii="宋体" w:eastAsia="宋体" w:hAnsi="宋体" w:hint="eastAsia"/>
          <w:sz w:val="24"/>
          <w:szCs w:val="24"/>
        </w:rPr>
        <w:lastRenderedPageBreak/>
        <w:t>努力拼搏，正是因为这样的人，把城市建设得愈发美好，然而城市的繁华终究不是真正的追求，即使身处城市之中，内心所渴望的依然是生他养他的故乡，这种对故乡的渴望，便是乡愁。</w:t>
      </w:r>
      <w:r w:rsidR="00C34A32">
        <w:rPr>
          <w:rFonts w:ascii="宋体" w:eastAsia="宋体" w:hAnsi="宋体" w:hint="eastAsia"/>
          <w:sz w:val="24"/>
          <w:szCs w:val="24"/>
        </w:rPr>
        <w:t>对于现代农村的发展，不仅仅是推陈出新，更要做好的，是对“旧”的保护，即使发生翻天覆地的变化，也要让归来的游人一眼就能认得出，故乡依然是那个美丽的故乡，依然是那个无论如何无法替代的地方。</w:t>
      </w:r>
    </w:p>
    <w:p w:rsidR="006305B5" w:rsidRPr="00AD55AF" w:rsidRDefault="006305B5" w:rsidP="00AD55A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305B5">
        <w:rPr>
          <w:rFonts w:ascii="宋体" w:eastAsia="宋体" w:hAnsi="宋体" w:hint="eastAsia"/>
          <w:b/>
          <w:sz w:val="28"/>
          <w:szCs w:val="28"/>
        </w:rPr>
        <w:t>建筑功能：</w:t>
      </w:r>
    </w:p>
    <w:p w:rsidR="006305B5" w:rsidRDefault="006305B5" w:rsidP="006305B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6305B5">
        <w:rPr>
          <w:rFonts w:ascii="宋体" w:eastAsia="宋体" w:hAnsi="宋体" w:hint="eastAsia"/>
          <w:sz w:val="24"/>
          <w:szCs w:val="24"/>
        </w:rPr>
        <w:t>本方案</w:t>
      </w:r>
      <w:r>
        <w:rPr>
          <w:rFonts w:ascii="宋体" w:eastAsia="宋体" w:hAnsi="宋体" w:hint="eastAsia"/>
          <w:sz w:val="24"/>
          <w:szCs w:val="24"/>
        </w:rPr>
        <w:t>分为独立住宅和双拼住宅两种，</w:t>
      </w:r>
      <w:r w:rsidR="004C4DA8">
        <w:rPr>
          <w:rFonts w:ascii="宋体" w:eastAsia="宋体" w:hAnsi="宋体" w:hint="eastAsia"/>
          <w:sz w:val="24"/>
          <w:szCs w:val="24"/>
        </w:rPr>
        <w:t>建筑层数统一为</w:t>
      </w:r>
      <w:r>
        <w:rPr>
          <w:rFonts w:ascii="宋体" w:eastAsia="宋体" w:hAnsi="宋体" w:hint="eastAsia"/>
          <w:sz w:val="24"/>
          <w:szCs w:val="24"/>
        </w:rPr>
        <w:t>两层</w:t>
      </w:r>
      <w:r w:rsidR="004C4DA8">
        <w:rPr>
          <w:rFonts w:ascii="宋体" w:eastAsia="宋体" w:hAnsi="宋体" w:hint="eastAsia"/>
          <w:sz w:val="24"/>
          <w:szCs w:val="24"/>
        </w:rPr>
        <w:t>，主要生活区域位于一层，二层则为休息区域。独立住宅首层包括客厅、餐厅、厨房、卫生间和带独卫的老人卧室，二层则为卧室和卫生间，以及北侧的露台和南侧的阳台。双拼住宅与独立住宅相比，在保证功能完善的同时，整体布局更加紧凑，一层包括堂屋、餐厅、厨房、卫生间、老人房等主要功能，二层包括卧室、卫生间和书房，以及北侧的露台和南侧的阳台。整体功能齐全，各区域之间紧密结合而</w:t>
      </w:r>
      <w:r w:rsidR="007E4119">
        <w:rPr>
          <w:rFonts w:ascii="宋体" w:eastAsia="宋体" w:hAnsi="宋体" w:hint="eastAsia"/>
          <w:sz w:val="24"/>
          <w:szCs w:val="24"/>
        </w:rPr>
        <w:t>分隔清晰，流线简洁明了，动与静之间做到互相不干扰。</w:t>
      </w:r>
    </w:p>
    <w:p w:rsidR="007E4119" w:rsidRDefault="007E4119" w:rsidP="007E4119">
      <w:pPr>
        <w:spacing w:line="360" w:lineRule="auto"/>
        <w:jc w:val="left"/>
        <w:rPr>
          <w:rFonts w:ascii="宋体" w:eastAsia="宋体" w:hAnsi="宋体"/>
          <w:b/>
          <w:sz w:val="28"/>
          <w:szCs w:val="28"/>
        </w:rPr>
      </w:pPr>
      <w:r w:rsidRPr="007E4119">
        <w:rPr>
          <w:rFonts w:ascii="宋体" w:eastAsia="宋体" w:hAnsi="宋体" w:hint="eastAsia"/>
          <w:b/>
          <w:sz w:val="28"/>
          <w:szCs w:val="28"/>
        </w:rPr>
        <w:t>经济技术指标</w:t>
      </w:r>
      <w:r>
        <w:rPr>
          <w:rFonts w:ascii="宋体" w:eastAsia="宋体" w:hAnsi="宋体" w:hint="eastAsia"/>
          <w:b/>
          <w:sz w:val="28"/>
          <w:szCs w:val="28"/>
        </w:rPr>
        <w:t>：</w:t>
      </w:r>
    </w:p>
    <w:p w:rsidR="007E4119" w:rsidRDefault="007E4119" w:rsidP="007E4119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7E4119">
        <w:rPr>
          <w:rFonts w:ascii="宋体" w:eastAsia="宋体" w:hAnsi="宋体" w:hint="eastAsia"/>
          <w:sz w:val="24"/>
          <w:szCs w:val="24"/>
        </w:rPr>
        <w:t>独立住宅：</w:t>
      </w:r>
      <w:r w:rsidR="00941157">
        <w:rPr>
          <w:rFonts w:ascii="宋体" w:eastAsia="宋体" w:hAnsi="宋体" w:hint="eastAsia"/>
          <w:sz w:val="24"/>
          <w:szCs w:val="24"/>
        </w:rPr>
        <w:t xml:space="preserve"> </w:t>
      </w:r>
      <w:r w:rsidR="00941157">
        <w:rPr>
          <w:rFonts w:ascii="宋体" w:eastAsia="宋体" w:hAnsi="宋体"/>
          <w:sz w:val="24"/>
          <w:szCs w:val="24"/>
        </w:rPr>
        <w:t xml:space="preserve">                          </w:t>
      </w:r>
      <w:r w:rsidR="00941157">
        <w:rPr>
          <w:rFonts w:ascii="宋体" w:eastAsia="宋体" w:hAnsi="宋体" w:hint="eastAsia"/>
          <w:sz w:val="24"/>
          <w:szCs w:val="24"/>
        </w:rPr>
        <w:t>双拼住宅：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567"/>
        <w:gridCol w:w="1559"/>
        <w:gridCol w:w="2268"/>
      </w:tblGrid>
      <w:tr w:rsidR="00941157" w:rsidTr="00C62CA7">
        <w:tc>
          <w:tcPr>
            <w:tcW w:w="1555" w:type="dxa"/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占地面积：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31.27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㎡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占地面积：</w:t>
            </w:r>
          </w:p>
        </w:tc>
        <w:tc>
          <w:tcPr>
            <w:tcW w:w="2268" w:type="dxa"/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03.13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㎡</w:t>
            </w:r>
          </w:p>
        </w:tc>
      </w:tr>
      <w:tr w:rsidR="00941157" w:rsidTr="00C62CA7">
        <w:tc>
          <w:tcPr>
            <w:tcW w:w="1555" w:type="dxa"/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建筑面积：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/>
                <w:sz w:val="24"/>
                <w:szCs w:val="24"/>
              </w:rPr>
              <w:t>40.44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㎡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建筑面积：</w:t>
            </w:r>
          </w:p>
        </w:tc>
        <w:tc>
          <w:tcPr>
            <w:tcW w:w="2268" w:type="dxa"/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189.47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㎡</w:t>
            </w:r>
          </w:p>
        </w:tc>
      </w:tr>
      <w:tr w:rsidR="00941157" w:rsidTr="00C62CA7">
        <w:tc>
          <w:tcPr>
            <w:tcW w:w="1555" w:type="dxa"/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阳台面积：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4.04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㎡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阳台面积：</w:t>
            </w:r>
          </w:p>
        </w:tc>
        <w:tc>
          <w:tcPr>
            <w:tcW w:w="2268" w:type="dxa"/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0.14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㎡</w:t>
            </w:r>
          </w:p>
        </w:tc>
      </w:tr>
      <w:tr w:rsidR="00C62CA7" w:rsidTr="00C62CA7">
        <w:tc>
          <w:tcPr>
            <w:tcW w:w="1555" w:type="dxa"/>
          </w:tcPr>
          <w:p w:rsidR="00C62CA7" w:rsidRDefault="00C62CA7" w:rsidP="00C62CA7">
            <w:pPr>
              <w:spacing w:line="360" w:lineRule="auto"/>
              <w:jc w:val="left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房间统计：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62CA7" w:rsidRDefault="00C62CA7" w:rsidP="00C62CA7">
            <w:pPr>
              <w:spacing w:line="360" w:lineRule="auto"/>
              <w:jc w:val="left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四室三厅一厨四卫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2CA7" w:rsidRDefault="00C62CA7" w:rsidP="00C62CA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62CA7" w:rsidRDefault="00C62CA7" w:rsidP="00C62CA7">
            <w:pPr>
              <w:spacing w:line="360" w:lineRule="auto"/>
              <w:jc w:val="left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房间统计：</w:t>
            </w:r>
          </w:p>
        </w:tc>
        <w:tc>
          <w:tcPr>
            <w:tcW w:w="2268" w:type="dxa"/>
          </w:tcPr>
          <w:p w:rsidR="00C62CA7" w:rsidRDefault="00C62CA7" w:rsidP="00C62CA7">
            <w:pPr>
              <w:spacing w:line="360" w:lineRule="auto"/>
              <w:jc w:val="left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四室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两</w:t>
            </w:r>
            <w:bookmarkStart w:id="0" w:name="_GoBack"/>
            <w:bookmarkEnd w:id="0"/>
            <w:r>
              <w:rPr>
                <w:rFonts w:ascii="宋体" w:eastAsia="宋体" w:hAnsi="宋体" w:hint="eastAsia"/>
                <w:sz w:val="24"/>
                <w:szCs w:val="24"/>
              </w:rPr>
              <w:t>厅一厨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两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卫</w:t>
            </w:r>
          </w:p>
        </w:tc>
      </w:tr>
      <w:tr w:rsidR="00C62CA7" w:rsidTr="00C62CA7">
        <w:tc>
          <w:tcPr>
            <w:tcW w:w="1555" w:type="dxa"/>
          </w:tcPr>
          <w:p w:rsidR="00C62CA7" w:rsidRDefault="00C62CA7" w:rsidP="00C62CA7">
            <w:pPr>
              <w:spacing w:line="360" w:lineRule="auto"/>
              <w:jc w:val="left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层数：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62CA7" w:rsidRDefault="00C62CA7" w:rsidP="00C62CA7">
            <w:pPr>
              <w:spacing w:line="360" w:lineRule="auto"/>
              <w:jc w:val="left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两层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2CA7" w:rsidRDefault="00C62CA7" w:rsidP="00C62CA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62CA7" w:rsidRDefault="00C62CA7" w:rsidP="00C62CA7">
            <w:pPr>
              <w:spacing w:line="360" w:lineRule="auto"/>
              <w:jc w:val="left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层数：</w:t>
            </w:r>
          </w:p>
        </w:tc>
        <w:tc>
          <w:tcPr>
            <w:tcW w:w="2268" w:type="dxa"/>
          </w:tcPr>
          <w:p w:rsidR="00C62CA7" w:rsidRDefault="00C62CA7" w:rsidP="00C62CA7">
            <w:pPr>
              <w:spacing w:line="360" w:lineRule="auto"/>
              <w:jc w:val="left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两层</w:t>
            </w:r>
          </w:p>
        </w:tc>
      </w:tr>
      <w:tr w:rsidR="00941157" w:rsidTr="00C62CA7">
        <w:tc>
          <w:tcPr>
            <w:tcW w:w="1555" w:type="dxa"/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概算：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500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元/平方米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概算：</w:t>
            </w:r>
          </w:p>
        </w:tc>
        <w:tc>
          <w:tcPr>
            <w:tcW w:w="2268" w:type="dxa"/>
          </w:tcPr>
          <w:p w:rsidR="00941157" w:rsidRDefault="00941157" w:rsidP="00941157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500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元/平方米</w:t>
            </w:r>
          </w:p>
        </w:tc>
      </w:tr>
    </w:tbl>
    <w:p w:rsidR="007E4119" w:rsidRPr="007E4119" w:rsidRDefault="007E4119" w:rsidP="007E4119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sectPr w:rsidR="007E4119" w:rsidRPr="007E41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BF2" w:rsidRDefault="006D7BF2" w:rsidP="00770091">
      <w:r>
        <w:separator/>
      </w:r>
    </w:p>
  </w:endnote>
  <w:endnote w:type="continuationSeparator" w:id="0">
    <w:p w:rsidR="006D7BF2" w:rsidRDefault="006D7BF2" w:rsidP="00770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BF2" w:rsidRDefault="006D7BF2" w:rsidP="00770091">
      <w:r>
        <w:separator/>
      </w:r>
    </w:p>
  </w:footnote>
  <w:footnote w:type="continuationSeparator" w:id="0">
    <w:p w:rsidR="006D7BF2" w:rsidRDefault="006D7BF2" w:rsidP="007700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93C"/>
    <w:rsid w:val="000F2F45"/>
    <w:rsid w:val="001D0B23"/>
    <w:rsid w:val="003226D8"/>
    <w:rsid w:val="003B093C"/>
    <w:rsid w:val="004C4DA8"/>
    <w:rsid w:val="00590693"/>
    <w:rsid w:val="005A1FF0"/>
    <w:rsid w:val="006305B5"/>
    <w:rsid w:val="0065513A"/>
    <w:rsid w:val="006D7BF2"/>
    <w:rsid w:val="00770091"/>
    <w:rsid w:val="007E4119"/>
    <w:rsid w:val="008F237B"/>
    <w:rsid w:val="00941157"/>
    <w:rsid w:val="00956D5E"/>
    <w:rsid w:val="00AD55AF"/>
    <w:rsid w:val="00C0175B"/>
    <w:rsid w:val="00C34A32"/>
    <w:rsid w:val="00C62CA7"/>
    <w:rsid w:val="00C72F54"/>
    <w:rsid w:val="00CD2648"/>
    <w:rsid w:val="00FD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D566C2"/>
  <w15:chartTrackingRefBased/>
  <w15:docId w15:val="{67D89FD5-CF59-47B9-A1BF-A2FF9603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00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00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00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0091"/>
    <w:rPr>
      <w:sz w:val="18"/>
      <w:szCs w:val="18"/>
    </w:rPr>
  </w:style>
  <w:style w:type="table" w:styleId="a7">
    <w:name w:val="Table Grid"/>
    <w:basedOn w:val="a1"/>
    <w:uiPriority w:val="39"/>
    <w:rsid w:val="007E4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M-suika</dc:creator>
  <cp:keywords/>
  <dc:description/>
  <cp:lastModifiedBy>M-suika</cp:lastModifiedBy>
  <cp:revision>6</cp:revision>
  <dcterms:created xsi:type="dcterms:W3CDTF">2022-07-31T06:56:00Z</dcterms:created>
  <dcterms:modified xsi:type="dcterms:W3CDTF">2022-07-31T10:49:00Z</dcterms:modified>
</cp:coreProperties>
</file>